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Calibri" w:hAnsi="Calibri" w:cs="宋体"/>
          <w:sz w:val="48"/>
          <w:szCs w:val="48"/>
          <w:lang w:val="en-US" w:eastAsia="zh-CN"/>
        </w:rPr>
      </w:pPr>
      <w:bookmarkStart w:id="0" w:name="_Toc15668"/>
      <w:bookmarkStart w:id="1" w:name="_Toc27224"/>
      <w:r>
        <w:rPr>
          <w:rFonts w:hint="eastAsia" w:ascii="Calibri" w:hAnsi="Calibri" w:cs="宋体"/>
          <w:sz w:val="48"/>
          <w:szCs w:val="48"/>
          <w:lang w:eastAsia="zh-CN"/>
        </w:rPr>
        <w:t>兼客兼职需求文档</w:t>
      </w:r>
      <w:r>
        <w:rPr>
          <w:rFonts w:hint="eastAsia" w:ascii="Calibri" w:hAnsi="Calibri" w:cs="宋体"/>
          <w:sz w:val="48"/>
          <w:szCs w:val="48"/>
          <w:lang w:val="en-US" w:eastAsia="zh-CN"/>
        </w:rPr>
        <w:t>V2.9.1</w:t>
      </w:r>
    </w:p>
    <w:p>
      <w:pPr>
        <w:pStyle w:val="14"/>
        <w:widowControl/>
        <w:jc w:val="center"/>
        <w:outlineLvl w:val="9"/>
        <w:rPr>
          <w:rFonts w:hint="eastAsia" w:ascii="方正仿宋简体" w:hAnsi="方正仿宋简体" w:eastAsia="方正仿宋简体" w:cs="方正仿宋简体"/>
          <w:sz w:val="21"/>
          <w:szCs w:val="21"/>
        </w:rPr>
      </w:pPr>
      <w:bookmarkStart w:id="2" w:name="_Toc11298"/>
      <w:bookmarkStart w:id="3" w:name="_Toc19604"/>
      <w:bookmarkStart w:id="4" w:name="_Toc29572"/>
      <w:bookmarkStart w:id="5" w:name="_Toc22184"/>
      <w:bookmarkStart w:id="6" w:name="_Toc12640"/>
      <w:bookmarkStart w:id="7" w:name="_Toc24893"/>
      <w:bookmarkStart w:id="8" w:name="_Toc19431"/>
      <w:bookmarkStart w:id="9" w:name="_Toc21363"/>
      <w:bookmarkStart w:id="10" w:name="_Toc31300"/>
      <w:bookmarkStart w:id="11" w:name="_Toc13270"/>
      <w:bookmarkStart w:id="12" w:name="_Toc21556"/>
      <w:bookmarkStart w:id="13" w:name="_Toc673"/>
      <w:bookmarkStart w:id="14" w:name="_Toc30310"/>
      <w:bookmarkStart w:id="15" w:name="_Toc13254"/>
      <w:r>
        <w:rPr>
          <w:rFonts w:hint="eastAsia" w:ascii="方正仿宋简体" w:hAnsi="方正仿宋简体" w:eastAsia="方正仿宋简体" w:cs="方正仿宋简体"/>
          <w:sz w:val="21"/>
          <w:szCs w:val="21"/>
        </w:rPr>
        <w:t>修订记录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21"/>
        <w:tblW w:w="8997" w:type="dxa"/>
        <w:jc w:val="center"/>
        <w:tblInd w:w="-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465"/>
        <w:gridCol w:w="1143"/>
        <w:gridCol w:w="4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文档版本号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修订日期</w:t>
            </w: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修订人</w:t>
            </w: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  <w:r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  <w:tc>
          <w:tcPr>
            <w:tcW w:w="11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eastAsia="zh-CN"/>
              </w:rPr>
            </w:pPr>
          </w:p>
        </w:tc>
        <w:tc>
          <w:tcPr>
            <w:tcW w:w="4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方正仿宋简体" w:hAnsi="方正仿宋简体" w:eastAsia="方正仿宋简体" w:cs="方正仿宋简体"/>
                <w:sz w:val="15"/>
                <w:szCs w:val="15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numPr>
          <w:ilvl w:val="0"/>
          <w:numId w:val="0"/>
        </w:numPr>
        <w:tabs>
          <w:tab w:val="right" w:leader="dot" w:pos="8306"/>
        </w:tabs>
        <w:ind w:leftChars="0"/>
        <w:jc w:val="center"/>
        <w:rPr>
          <w:rFonts w:hint="eastAsia" w:ascii="Times New Roman" w:hAnsi="Times New Roman" w:eastAsia="宋体" w:cs="Times New Roman"/>
          <w:bCs/>
          <w:kern w:val="44"/>
          <w:sz w:val="21"/>
          <w:szCs w:val="44"/>
          <w:lang w:val="en-US" w:eastAsia="zh-CN" w:bidi="ar-SA"/>
        </w:rPr>
      </w:pPr>
      <w:bookmarkStart w:id="16" w:name="_Toc19252"/>
      <w:r>
        <w:rPr>
          <w:rFonts w:hint="eastAsia"/>
          <w:b/>
          <w:bCs/>
          <w:lang w:eastAsia="zh-CN"/>
        </w:rPr>
        <w:t>目录</w:t>
      </w:r>
      <w:bookmarkEnd w:id="16"/>
      <w:r>
        <w:rPr>
          <w:rFonts w:hint="eastAsia" w:eastAsia="宋体"/>
          <w:lang w:eastAsia="zh-CN"/>
        </w:rPr>
        <w:fldChar w:fldCharType="begin"/>
      </w:r>
      <w:r>
        <w:rPr>
          <w:rFonts w:hint="eastAsia" w:eastAsia="宋体"/>
          <w:lang w:eastAsia="zh-CN"/>
        </w:rPr>
        <w:instrText xml:space="preserve">TOC \o "1-2" \h \u </w:instrText>
      </w:r>
      <w:r>
        <w:rPr>
          <w:rFonts w:hint="eastAsia" w:eastAsia="宋体"/>
          <w:lang w:eastAsia="zh-CN"/>
        </w:rPr>
        <w:fldChar w:fldCharType="separate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_Toc9096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一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、 见证宝业务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_Toc9096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_Toc28158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平安银行虚拟账户建立（高）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_Toc28158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_Toc18314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充值（高）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_Toc18314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_Toc2383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提现（高）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_Toc2383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_Toc11569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会员交易（高）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_Toc11569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_Toc18600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平台补贴（高）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_Toc18600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_Toc22749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平台收入（高）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_Toc22749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_Toc22692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账单垫资充值（高）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_Toc22692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_Toc32650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购买保险（高）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_Toc32650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_Toc12761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银行卡管理（高）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_Toc12761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_Toc6362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0、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添加银行卡（高）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_Toc6362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_Toc20792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二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、 平安付业务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_Toc20792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_Toc27247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银行卡充值（高）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_Toc27247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_Toc30855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快捷支付（高）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_Toc30855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_Toc7923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WEB银行卡充值（中）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_Toc7923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_Toc24517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三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、 人脉王调整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_Toc24517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_Toc20096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人脉王申请成功（低）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_Toc20096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_Toc18025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已结束订单聚合（低）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_Toc18025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_Toc19282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3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人脉王短信退订（低）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_Toc19282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_Toc3036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四</w: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t>、 预支工资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_Toc3036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_Toc23773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静默登录（中）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_Toc23773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HYPERLINK \l _Toc28843 </w:instrText>
      </w: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2</w:t>
      </w:r>
      <w:r>
        <w:rPr>
          <w:rFonts w:hint="default" w:ascii="华文黑体" w:hAnsi="华文黑体" w:eastAsia="华文黑体" w:cs="华文黑体"/>
          <w:bCs/>
          <w:kern w:val="2"/>
          <w:szCs w:val="28"/>
          <w:lang w:val="en-US" w:eastAsia="zh-CN" w:bidi="ar-SA"/>
        </w:rPr>
        <w:t xml:space="preserve">、 </w:t>
      </w:r>
      <w:r>
        <w:rPr>
          <w:rFonts w:hint="eastAsia" w:ascii="华文黑体" w:hAnsi="华文黑体" w:eastAsia="华文黑体" w:cs="华文黑体"/>
          <w:bCs/>
          <w:kern w:val="44"/>
          <w:szCs w:val="21"/>
          <w:lang w:val="en-US" w:eastAsia="zh-CN" w:bidi="ar-SA"/>
        </w:rPr>
        <w:t>新增预支工资引导（中）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ab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instrText xml:space="preserve"> PAGEREF _Toc28843 </w:instrTex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  <w:r>
        <w:rPr>
          <w:rFonts w:hint="default" w:ascii="华文黑体" w:hAnsi="华文黑体" w:eastAsia="华文黑体" w:cs="华文黑体"/>
          <w:bCs/>
          <w:color w:val="auto"/>
          <w:kern w:val="2"/>
          <w:szCs w:val="28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0"/>
        </w:numPr>
        <w:tabs>
          <w:tab w:val="clear" w:pos="0"/>
        </w:tabs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ascii="Times New Roman" w:hAnsi="Times New Roman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bookmarkEnd w:id="0"/>
    <w:bookmarkEnd w:id="1"/>
    <w:p>
      <w:pPr>
        <w:pStyle w:val="2"/>
        <w:tabs>
          <w:tab w:val="clear" w:pos="0"/>
        </w:tabs>
        <w:rPr>
          <w:rFonts w:hint="eastAsia"/>
          <w:lang w:eastAsia="zh-CN"/>
        </w:rPr>
      </w:pPr>
      <w:bookmarkStart w:id="17" w:name="_Toc20792"/>
      <w:bookmarkStart w:id="18" w:name="_Toc24583"/>
      <w:bookmarkStart w:id="29" w:name="_GoBack"/>
      <w:bookmarkEnd w:id="29"/>
      <w:r>
        <w:rPr>
          <w:rFonts w:hint="eastAsia"/>
          <w:lang w:eastAsia="zh-CN"/>
        </w:rPr>
        <w:t>平安付业务</w:t>
      </w:r>
      <w:bookmarkEnd w:id="17"/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19" w:name="_Toc27247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银行卡充值</w:t>
      </w:r>
      <w:bookmarkEnd w:id="18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（高）</w:t>
      </w:r>
      <w:bookmarkEnd w:id="19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用户通过银行卡充值，将资金充值至钱袋子中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充值方式新增银行卡充值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drawing>
                <wp:inline distT="0" distB="0" distL="114300" distR="114300">
                  <wp:extent cx="2005330" cy="3567430"/>
                  <wp:effectExtent l="0" t="0" r="13970" b="13970"/>
                  <wp:docPr id="2" name="图片 2" descr="lALOEqNM5s0FNs0C7g_750_1334.png_620x10000q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lALOEqNM5s0FNs0C7g_750_1334.png_620x10000q9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330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『充值』页面中，在微信充值方式下方新增银行卡充值；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当用户选择银行卡充值时点击「确定」按钮时跳转至『平安付』页面；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研发在平安付充值入口需特别注意</w:t>
            </w:r>
            <w:r>
              <w:rPr>
                <w:rFonts w:hint="eastAsia"/>
                <w:color w:val="auto"/>
                <w:sz w:val="18"/>
                <w:highlight w:val="yellow"/>
                <w:lang w:eastAsia="zh-CN"/>
              </w:rPr>
              <w:t>关闭信用卡充值通道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0" w:name="_Toc5587"/>
      <w:bookmarkStart w:id="21" w:name="_Toc30855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快捷支付</w:t>
      </w:r>
      <w:bookmarkEnd w:id="20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（高）</w:t>
      </w:r>
      <w:bookmarkEnd w:id="21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雇主通过快捷支付支付工资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新增平安付快捷支付功能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在微信支付与支付宝支付间新增</w:t>
            </w:r>
            <w:r>
              <w:rPr>
                <w:rFonts w:hint="eastAsia"/>
                <w:sz w:val="18"/>
                <w:highlight w:val="yellow"/>
                <w:lang w:eastAsia="zh-CN"/>
              </w:rPr>
              <w:t>快捷支付栏</w:t>
            </w:r>
            <w:r>
              <w:rPr>
                <w:rFonts w:hint="eastAsia"/>
                <w:sz w:val="18"/>
                <w:lang w:eastAsia="zh-CN"/>
              </w:rPr>
              <w:t>；</w:t>
            </w:r>
          </w:p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当用户选择快捷支付后，点击「确定」按钮，跳转至平安付快捷支付页面。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 w:eastAsia="宋体"/>
                <w:sz w:val="18"/>
                <w:lang w:eastAsia="zh-CN"/>
              </w:rPr>
              <w:drawing>
                <wp:inline distT="0" distB="0" distL="114300" distR="114300">
                  <wp:extent cx="2166620" cy="3853815"/>
                  <wp:effectExtent l="0" t="0" r="5080" b="13335"/>
                  <wp:docPr id="4" name="图片 4" descr="提现2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提现2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0"/>
              </w:numPr>
              <w:ind w:leftChars="0"/>
              <w:rPr>
                <w:rFonts w:hint="eastAsia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支付宝支付方式还是放在最后，并且折叠起来，银行卡支付不折叠，快捷支付平安付中</w:t>
            </w:r>
            <w:r>
              <w:rPr>
                <w:rFonts w:hint="eastAsia"/>
                <w:sz w:val="18"/>
                <w:highlight w:val="yellow"/>
                <w:lang w:val="en-US" w:eastAsia="zh-CN"/>
              </w:rPr>
              <w:t>支持信用卡支付</w:t>
            </w:r>
            <w:r>
              <w:rPr>
                <w:rFonts w:hint="eastAsia"/>
                <w:sz w:val="18"/>
                <w:lang w:val="en-US" w:eastAsia="zh-CN"/>
              </w:rPr>
              <w:t>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2" w:name="_Toc7923"/>
      <w:r>
        <w:rPr>
          <w:rFonts w:hint="eastAsia" w:ascii="华文黑体" w:hAnsi="华文黑体" w:eastAsia="华文黑体" w:cs="华文黑体"/>
          <w:color w:val="auto"/>
          <w:sz w:val="21"/>
          <w:szCs w:val="21"/>
          <w:lang w:val="en-US" w:eastAsia="zh-CN"/>
        </w:rPr>
        <w:t>WEB</w:t>
      </w:r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银行卡充值（中）</w:t>
      </w:r>
      <w:bookmarkEnd w:id="22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用户通过银行卡充值，将资金充值至钱袋子中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充值方式新增银行卡充值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drawing>
                <wp:inline distT="0" distB="0" distL="114300" distR="114300">
                  <wp:extent cx="4155440" cy="3300095"/>
                  <wp:effectExtent l="0" t="0" r="16510" b="146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440" cy="330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WEB充值页面「支付方式」中新增银行卡充值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用户点击后跳转至『平安付』web页面。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见证宝财务操作流程及说明：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财务首先需要平安银行中开立监管户和结算户两个一般户</w:t>
      </w:r>
      <w:r>
        <w:rPr>
          <w:rFonts w:hint="eastAsia"/>
          <w:b/>
          <w:bCs/>
          <w:lang w:val="en-US" w:eastAsia="zh-CN"/>
        </w:rPr>
        <w:t>（一次性）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在跟平安银行进行申请，绑定系统监管户和结算户</w:t>
      </w:r>
      <w:r>
        <w:rPr>
          <w:rFonts w:hint="eastAsia"/>
          <w:b/>
          <w:bCs/>
          <w:lang w:val="en-US" w:eastAsia="zh-CN"/>
        </w:rPr>
        <w:t>（一次性）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分别对上述两个一般户进行预充值，平台的补贴会从监管户中支出，收入最终出金到结算户，结算户中涉及绑卡消费和提现消费</w:t>
      </w:r>
      <w:r>
        <w:rPr>
          <w:rFonts w:hint="eastAsia"/>
          <w:b/>
          <w:bCs/>
          <w:lang w:val="en-US" w:eastAsia="zh-CN"/>
        </w:rPr>
        <w:t>（日常性）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财务需定时从结算户中将资金转至微信商户或支付宝商户后台，以便用户使用第三方工具取现时使用</w:t>
      </w:r>
      <w:r>
        <w:rPr>
          <w:rFonts w:hint="eastAsia"/>
          <w:b/>
          <w:bCs/>
          <w:lang w:val="en-US" w:eastAsia="zh-CN"/>
        </w:rPr>
        <w:t>（日常性）</w:t>
      </w:r>
      <w:r>
        <w:rPr>
          <w:rFonts w:hint="eastAsia"/>
          <w:lang w:val="en-US" w:eastAsia="zh-CN"/>
        </w:rPr>
        <w:t>。</w:t>
      </w:r>
    </w:p>
    <w:p>
      <w:pPr>
        <w:pStyle w:val="2"/>
        <w:tabs>
          <w:tab w:val="clear" w:pos="0"/>
        </w:tabs>
        <w:rPr>
          <w:rFonts w:hint="eastAsia"/>
          <w:lang w:eastAsia="zh-CN"/>
        </w:rPr>
      </w:pPr>
      <w:bookmarkStart w:id="23" w:name="_Toc24517"/>
      <w:r>
        <w:rPr>
          <w:rFonts w:hint="eastAsia"/>
          <w:lang w:eastAsia="zh-CN"/>
        </w:rPr>
        <w:t>人脉王调整</w:t>
      </w:r>
      <w:bookmarkEnd w:id="23"/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4" w:name="_Toc18025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已结束订单聚合（低）</w:t>
      </w:r>
      <w:bookmarkEnd w:id="24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用户进入『我是人脉王』接单页面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已结束的订单聚合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『我是人脉王』接单页面，当同时存在已结束和进行中的订单时，已结束的订单聚合，当用户点击时，再次展开，当只存在已结束订单时，则全部显示，不再聚合。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 xml:space="preserve">          </w:t>
            </w: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drawing>
                <wp:inline distT="0" distB="0" distL="114300" distR="114300">
                  <wp:extent cx="1991995" cy="3543935"/>
                  <wp:effectExtent l="0" t="0" r="8255" b="18415"/>
                  <wp:docPr id="3" name="图片 3" descr="我是人脉王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我是人脉王@2x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9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5" w:name="_Toc19282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人脉王短信退订（低）</w:t>
      </w:r>
      <w:bookmarkEnd w:id="25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用户退订人脉王接单短信提醒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新增人脉王接单短信退订功能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在发给人脉王接单短信中新增退订机制：“【兼客兼职】报告人脉王！【岗位名称】邀请您帮忙招人啦！赏金X元/人，快去看看吧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，</w:t>
            </w: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→链接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 xml:space="preserve"> 回复N退订</w:t>
            </w: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”</w:t>
            </w: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；</w:t>
            </w:r>
          </w:p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当用户在该短信中回复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TD后，今后接单短信不再发送给该用户。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2"/>
        <w:tabs>
          <w:tab w:val="clear" w:pos="0"/>
        </w:tabs>
        <w:rPr>
          <w:rFonts w:hint="eastAsia"/>
          <w:lang w:eastAsia="zh-CN"/>
        </w:rPr>
      </w:pPr>
      <w:bookmarkStart w:id="26" w:name="_Toc3036"/>
      <w:r>
        <w:rPr>
          <w:rFonts w:hint="eastAsia"/>
          <w:lang w:eastAsia="zh-CN"/>
        </w:rPr>
        <w:t>预支工资</w:t>
      </w:r>
      <w:bookmarkEnd w:id="26"/>
    </w:p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7" w:name="_Toc23773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静默登录（中）</w:t>
      </w:r>
      <w:bookmarkEnd w:id="27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用户进入『预支工资』页面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实现用户可直接登录菠萝袋『预支工资』页面，无需授权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修改「预领工资」为「预支工资」；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实现用户在登录兼客客户端后可直接在『预支工资』页面完成预支功能，无需授权；</w:t>
            </w:r>
          </w:p>
          <w:p>
            <w:pPr>
              <w:numPr>
                <w:ilvl w:val="0"/>
                <w:numId w:val="6"/>
              </w:numPr>
              <w:ind w:left="425" w:leftChars="0" w:hanging="425" w:firstLineChars="0"/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highlight w:val="none"/>
                <w:lang w:eastAsia="zh-CN"/>
              </w:rPr>
              <w:t>开放用户的信息为：</w:t>
            </w:r>
            <w:r>
              <w:rPr>
                <w:rFonts w:hint="eastAsia"/>
                <w:color w:val="000000" w:themeColor="text1"/>
                <w:sz w:val="18"/>
                <w:highlight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个人头像、姓名、性别、出生年月、常住地、是否学生、联系邮箱。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pStyle w:val="3"/>
        <w:tabs>
          <w:tab w:val="clear" w:pos="0"/>
        </w:tabs>
        <w:rPr>
          <w:rFonts w:ascii="华文黑体" w:hAnsi="华文黑体" w:eastAsia="华文黑体" w:cs="华文黑体"/>
          <w:color w:val="auto"/>
          <w:sz w:val="21"/>
          <w:szCs w:val="21"/>
        </w:rPr>
      </w:pPr>
      <w:bookmarkStart w:id="28" w:name="_Toc28843"/>
      <w:r>
        <w:rPr>
          <w:rFonts w:hint="eastAsia" w:ascii="华文黑体" w:hAnsi="华文黑体" w:eastAsia="华文黑体" w:cs="华文黑体"/>
          <w:color w:val="auto"/>
          <w:sz w:val="21"/>
          <w:szCs w:val="21"/>
          <w:lang w:eastAsia="zh-CN"/>
        </w:rPr>
        <w:t>新增预支工资引导（中）</w:t>
      </w:r>
      <w:bookmarkEnd w:id="28"/>
    </w:p>
    <w:tbl>
      <w:tblPr>
        <w:tblStyle w:val="2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用户场景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用户</w:t>
            </w:r>
            <w:r>
              <w:rPr>
                <w:rFonts w:hint="eastAsia"/>
                <w:color w:val="auto"/>
                <w:sz w:val="18"/>
                <w:lang w:eastAsia="zh-CN"/>
              </w:rPr>
              <w:t>完成岗位报名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lang w:eastAsia="zh-CN"/>
              </w:rPr>
              <w:t>在「兼客团队」功能号中新增预支工资</w:t>
            </w:r>
            <w:r>
              <w:rPr>
                <w:rFonts w:hint="eastAsia"/>
                <w:color w:val="auto"/>
                <w:sz w:val="18"/>
                <w:lang w:val="en-US" w:eastAsia="zh-CN"/>
              </w:rPr>
              <w:t>IM引导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both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优先等级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auto"/>
                <w:sz w:val="18"/>
                <w:lang w:eastAsia="zh-CN"/>
              </w:rPr>
            </w:pPr>
            <w:r>
              <w:rPr>
                <w:rFonts w:hint="eastAsia" w:eastAsia="宋体"/>
                <w:color w:val="auto"/>
                <w:sz w:val="18"/>
                <w:lang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输入/前置条件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/>
                <w:color w:val="auto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需求描述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eastAsia="zh-CN"/>
              </w:rPr>
              <w:t>当用户完成岗位报名，系统以「兼客团队」身份给用户发送一条</w:t>
            </w: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IM消息“恭喜您，获得预支工资的权限，快去申请吧！「查看详情」”点击「查看详情」跳转至『预支工资』页面；</w:t>
            </w:r>
          </w:p>
          <w:p>
            <w:pPr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highlight w:val="none"/>
                <w:lang w:val="en-US" w:eastAsia="zh-CN"/>
              </w:rPr>
              <w:t>特别注意，这条IM消息每名用户只发送一次。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ascii="Arial" w:hAnsi="Arial" w:cs="Arial"/>
                <w:sz w:val="18"/>
              </w:rPr>
              <w:t>输出/后置条件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ind w:firstLine="0" w:firstLineChars="0"/>
              <w:rPr>
                <w:rFonts w:hint="eastAsia" w:eastAsia="宋体"/>
                <w:color w:val="FF0000"/>
                <w:sz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补充说明</w:t>
            </w:r>
          </w:p>
        </w:tc>
        <w:tc>
          <w:tcPr>
            <w:tcW w:w="6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仿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黑体">
    <w:altName w:val="黑体"/>
    <w:panose1 w:val="00000000000000000000"/>
    <w:charset w:val="86"/>
    <w:family w:val="auto"/>
    <w:pitch w:val="default"/>
    <w:sig w:usb0="00000000" w:usb1="00000000" w:usb2="00020017" w:usb3="00000000" w:csb0="0016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hint="eastAsia" w:eastAsia="宋体"/>
        <w:lang w:val="en-US" w:eastAsia="zh-CN"/>
      </w:rPr>
      <w:t xml:space="preserve">                                  </w:t>
    </w:r>
    <w:r>
      <w:rPr>
        <w:rFonts w:hint="eastAsia"/>
        <w:lang w:eastAsia="zh-CN"/>
      </w:rPr>
      <w:t>兼客兼职需求说明文档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FCED"/>
    <w:multiLevelType w:val="singleLevel"/>
    <w:tmpl w:val="5719FC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73C119B"/>
    <w:multiLevelType w:val="singleLevel"/>
    <w:tmpl w:val="573C119B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3D2337"/>
    <w:multiLevelType w:val="singleLevel"/>
    <w:tmpl w:val="573D23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3FC029"/>
    <w:multiLevelType w:val="singleLevel"/>
    <w:tmpl w:val="573FC0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3FC29F"/>
    <w:multiLevelType w:val="singleLevel"/>
    <w:tmpl w:val="573FC2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42D1A3"/>
    <w:multiLevelType w:val="singleLevel"/>
    <w:tmpl w:val="5742D1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467F3"/>
    <w:rsid w:val="008909B8"/>
    <w:rsid w:val="009A2A35"/>
    <w:rsid w:val="00AD4CA8"/>
    <w:rsid w:val="011F7565"/>
    <w:rsid w:val="0123016A"/>
    <w:rsid w:val="012B0DF9"/>
    <w:rsid w:val="016F05E9"/>
    <w:rsid w:val="01CB2F01"/>
    <w:rsid w:val="01D3250C"/>
    <w:rsid w:val="01E6152D"/>
    <w:rsid w:val="03724537"/>
    <w:rsid w:val="04232EE6"/>
    <w:rsid w:val="043B4AFE"/>
    <w:rsid w:val="046B474E"/>
    <w:rsid w:val="04C234CB"/>
    <w:rsid w:val="05781409"/>
    <w:rsid w:val="067937A8"/>
    <w:rsid w:val="06C059EF"/>
    <w:rsid w:val="0716432D"/>
    <w:rsid w:val="07575FEC"/>
    <w:rsid w:val="07B06AC4"/>
    <w:rsid w:val="08F12939"/>
    <w:rsid w:val="0911525F"/>
    <w:rsid w:val="09210F0A"/>
    <w:rsid w:val="094A20CE"/>
    <w:rsid w:val="099D3D97"/>
    <w:rsid w:val="0A316B49"/>
    <w:rsid w:val="0A7B2440"/>
    <w:rsid w:val="0A9D5C9B"/>
    <w:rsid w:val="0AFA0790"/>
    <w:rsid w:val="0CCF01C0"/>
    <w:rsid w:val="0D2A0A24"/>
    <w:rsid w:val="0D86333C"/>
    <w:rsid w:val="0E54720D"/>
    <w:rsid w:val="0ED82C11"/>
    <w:rsid w:val="0F244062"/>
    <w:rsid w:val="0F4E652C"/>
    <w:rsid w:val="0F821E7D"/>
    <w:rsid w:val="0FE75425"/>
    <w:rsid w:val="0FFB65AF"/>
    <w:rsid w:val="101626F1"/>
    <w:rsid w:val="10B05EFE"/>
    <w:rsid w:val="10CF7921"/>
    <w:rsid w:val="10F555E2"/>
    <w:rsid w:val="10F90765"/>
    <w:rsid w:val="118D28CE"/>
    <w:rsid w:val="11DE5560"/>
    <w:rsid w:val="12252451"/>
    <w:rsid w:val="130F58D2"/>
    <w:rsid w:val="13AF5922"/>
    <w:rsid w:val="13D72804"/>
    <w:rsid w:val="13F413C8"/>
    <w:rsid w:val="143F24E9"/>
    <w:rsid w:val="145923F1"/>
    <w:rsid w:val="157D6CD0"/>
    <w:rsid w:val="15960C7B"/>
    <w:rsid w:val="180D3B06"/>
    <w:rsid w:val="188F7558"/>
    <w:rsid w:val="18A474FD"/>
    <w:rsid w:val="18F60201"/>
    <w:rsid w:val="19037516"/>
    <w:rsid w:val="19347369"/>
    <w:rsid w:val="19EF6BB7"/>
    <w:rsid w:val="1A7309F2"/>
    <w:rsid w:val="1B4119B3"/>
    <w:rsid w:val="1C307C2C"/>
    <w:rsid w:val="1CB0554B"/>
    <w:rsid w:val="1CF40D7E"/>
    <w:rsid w:val="1DAA72BB"/>
    <w:rsid w:val="1E495B3F"/>
    <w:rsid w:val="1E782E0B"/>
    <w:rsid w:val="1EE03AB4"/>
    <w:rsid w:val="1F9F2476"/>
    <w:rsid w:val="1FDE39D7"/>
    <w:rsid w:val="20546E99"/>
    <w:rsid w:val="21C24E71"/>
    <w:rsid w:val="223076A3"/>
    <w:rsid w:val="223D0F38"/>
    <w:rsid w:val="23816A21"/>
    <w:rsid w:val="246918CD"/>
    <w:rsid w:val="24A77B85"/>
    <w:rsid w:val="24B8164C"/>
    <w:rsid w:val="261D6994"/>
    <w:rsid w:val="269E01E7"/>
    <w:rsid w:val="26F853FE"/>
    <w:rsid w:val="28EF7C63"/>
    <w:rsid w:val="28FD484F"/>
    <w:rsid w:val="29053E59"/>
    <w:rsid w:val="292D1373"/>
    <w:rsid w:val="296B08E4"/>
    <w:rsid w:val="29BB2683"/>
    <w:rsid w:val="2A012DF7"/>
    <w:rsid w:val="2BCA5C66"/>
    <w:rsid w:val="2BEC169E"/>
    <w:rsid w:val="2CA455C9"/>
    <w:rsid w:val="2CE9283B"/>
    <w:rsid w:val="2D2C202A"/>
    <w:rsid w:val="2D541EEA"/>
    <w:rsid w:val="2DEB1164"/>
    <w:rsid w:val="2E10009F"/>
    <w:rsid w:val="2E393461"/>
    <w:rsid w:val="2E396CE5"/>
    <w:rsid w:val="2E7546EF"/>
    <w:rsid w:val="2EA42B11"/>
    <w:rsid w:val="2EF53F8A"/>
    <w:rsid w:val="2F0F4AD3"/>
    <w:rsid w:val="303F3BB7"/>
    <w:rsid w:val="309032BD"/>
    <w:rsid w:val="30E126EC"/>
    <w:rsid w:val="31144E94"/>
    <w:rsid w:val="312D7FBC"/>
    <w:rsid w:val="3201709B"/>
    <w:rsid w:val="326E63CA"/>
    <w:rsid w:val="32A852AA"/>
    <w:rsid w:val="32D75DF9"/>
    <w:rsid w:val="33356193"/>
    <w:rsid w:val="33735C77"/>
    <w:rsid w:val="33742285"/>
    <w:rsid w:val="33C024F3"/>
    <w:rsid w:val="33C47230"/>
    <w:rsid w:val="34153282"/>
    <w:rsid w:val="345E497B"/>
    <w:rsid w:val="346F4C16"/>
    <w:rsid w:val="352C2A4A"/>
    <w:rsid w:val="35E836B2"/>
    <w:rsid w:val="385122F2"/>
    <w:rsid w:val="39992888"/>
    <w:rsid w:val="39F9586F"/>
    <w:rsid w:val="3A415332"/>
    <w:rsid w:val="3A4E4336"/>
    <w:rsid w:val="3AAF5655"/>
    <w:rsid w:val="3B0527E0"/>
    <w:rsid w:val="3B800FEE"/>
    <w:rsid w:val="3C14299D"/>
    <w:rsid w:val="3C697494"/>
    <w:rsid w:val="3CDE36EB"/>
    <w:rsid w:val="3CE2566C"/>
    <w:rsid w:val="3DC31577"/>
    <w:rsid w:val="3E5B195E"/>
    <w:rsid w:val="3ED328A1"/>
    <w:rsid w:val="3F584CF9"/>
    <w:rsid w:val="3F5B382F"/>
    <w:rsid w:val="3F852345"/>
    <w:rsid w:val="3FAB6D01"/>
    <w:rsid w:val="406861BB"/>
    <w:rsid w:val="408753EB"/>
    <w:rsid w:val="40962182"/>
    <w:rsid w:val="40BB4940"/>
    <w:rsid w:val="40BC23C2"/>
    <w:rsid w:val="414F4ADE"/>
    <w:rsid w:val="422954B3"/>
    <w:rsid w:val="43365054"/>
    <w:rsid w:val="43BB74AB"/>
    <w:rsid w:val="446951F1"/>
    <w:rsid w:val="45C00E7A"/>
    <w:rsid w:val="461B3B13"/>
    <w:rsid w:val="46E10B07"/>
    <w:rsid w:val="4730365B"/>
    <w:rsid w:val="47A47D96"/>
    <w:rsid w:val="496A1C80"/>
    <w:rsid w:val="499A49CE"/>
    <w:rsid w:val="49B123F5"/>
    <w:rsid w:val="4A9D0D79"/>
    <w:rsid w:val="4B082FA5"/>
    <w:rsid w:val="4B863275"/>
    <w:rsid w:val="4B9F3E1E"/>
    <w:rsid w:val="4C5D2508"/>
    <w:rsid w:val="4CE11544"/>
    <w:rsid w:val="4D547FED"/>
    <w:rsid w:val="4DBC6717"/>
    <w:rsid w:val="4E05458D"/>
    <w:rsid w:val="4E2373C0"/>
    <w:rsid w:val="4F6B5159"/>
    <w:rsid w:val="4FEB4539"/>
    <w:rsid w:val="50AB6F44"/>
    <w:rsid w:val="51A86EEB"/>
    <w:rsid w:val="52611774"/>
    <w:rsid w:val="53117559"/>
    <w:rsid w:val="54141D37"/>
    <w:rsid w:val="548C426F"/>
    <w:rsid w:val="565250AC"/>
    <w:rsid w:val="568C3F8D"/>
    <w:rsid w:val="56C553EB"/>
    <w:rsid w:val="58427DDB"/>
    <w:rsid w:val="592C57DA"/>
    <w:rsid w:val="599B5C81"/>
    <w:rsid w:val="59BD1846"/>
    <w:rsid w:val="5A0E034B"/>
    <w:rsid w:val="5AAA72D0"/>
    <w:rsid w:val="5B761E9C"/>
    <w:rsid w:val="5C3C0960"/>
    <w:rsid w:val="5CE57AF4"/>
    <w:rsid w:val="5D122F42"/>
    <w:rsid w:val="5D41498A"/>
    <w:rsid w:val="5E0D665D"/>
    <w:rsid w:val="5E7C5660"/>
    <w:rsid w:val="5E996241"/>
    <w:rsid w:val="5EC01983"/>
    <w:rsid w:val="5F2C3231"/>
    <w:rsid w:val="5FF32FFA"/>
    <w:rsid w:val="607B63D6"/>
    <w:rsid w:val="6170126D"/>
    <w:rsid w:val="6171618A"/>
    <w:rsid w:val="61BD5AE9"/>
    <w:rsid w:val="62CF16DE"/>
    <w:rsid w:val="632A3AC1"/>
    <w:rsid w:val="63D15F4C"/>
    <w:rsid w:val="63FB6398"/>
    <w:rsid w:val="64C45DE1"/>
    <w:rsid w:val="654650B5"/>
    <w:rsid w:val="664F5567"/>
    <w:rsid w:val="66D435C2"/>
    <w:rsid w:val="66D72C4D"/>
    <w:rsid w:val="67371FE2"/>
    <w:rsid w:val="67C11F46"/>
    <w:rsid w:val="684031AE"/>
    <w:rsid w:val="686B38D7"/>
    <w:rsid w:val="696638FC"/>
    <w:rsid w:val="699B4CCF"/>
    <w:rsid w:val="6B3A3476"/>
    <w:rsid w:val="6BF5162B"/>
    <w:rsid w:val="6D6B58E0"/>
    <w:rsid w:val="6DBE449A"/>
    <w:rsid w:val="6E514D05"/>
    <w:rsid w:val="6ECD4657"/>
    <w:rsid w:val="6FC85B74"/>
    <w:rsid w:val="6FDC3946"/>
    <w:rsid w:val="70500F50"/>
    <w:rsid w:val="705467F3"/>
    <w:rsid w:val="706978FC"/>
    <w:rsid w:val="70AD3868"/>
    <w:rsid w:val="719E6674"/>
    <w:rsid w:val="71C77838"/>
    <w:rsid w:val="72004E62"/>
    <w:rsid w:val="72611747"/>
    <w:rsid w:val="735E4456"/>
    <w:rsid w:val="743608B6"/>
    <w:rsid w:val="74E57755"/>
    <w:rsid w:val="754A4D6E"/>
    <w:rsid w:val="75C8104D"/>
    <w:rsid w:val="75CA0CCD"/>
    <w:rsid w:val="77276A0B"/>
    <w:rsid w:val="774352C0"/>
    <w:rsid w:val="779A0F48"/>
    <w:rsid w:val="78A06277"/>
    <w:rsid w:val="79034C41"/>
    <w:rsid w:val="79291653"/>
    <w:rsid w:val="797265CF"/>
    <w:rsid w:val="799F4B15"/>
    <w:rsid w:val="79D2406A"/>
    <w:rsid w:val="7A8B129B"/>
    <w:rsid w:val="7AC77DFB"/>
    <w:rsid w:val="7ADD5821"/>
    <w:rsid w:val="7C8810E0"/>
    <w:rsid w:val="7D3127F3"/>
    <w:rsid w:val="7DD2457A"/>
    <w:rsid w:val="7EB4453D"/>
    <w:rsid w:val="7FA26D74"/>
    <w:rsid w:val="7FBF64D7"/>
    <w:rsid w:val="7FD408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Subtitle"/>
    <w:basedOn w:val="1"/>
    <w:next w:val="1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ambria" w:hAnsi="Cambria" w:eastAsia="宋体" w:cs="Times New Roman"/>
      <w:b/>
      <w:kern w:val="28"/>
      <w:sz w:val="32"/>
      <w:szCs w:val="32"/>
      <w:lang w:val="en-US" w:eastAsia="zh-CN" w:bidi="ar-SA"/>
    </w:r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character" w:styleId="19">
    <w:name w:val="Hyperlink"/>
    <w:qFormat/>
    <w:uiPriority w:val="0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2016-03-26T09:22:00Z</dcterms:created>
  <dc:creator>Administrator</dc:creator>
  <cp:lastModifiedBy>Administrator</cp:lastModifiedBy>
  <dcterms:modified xsi:type="dcterms:W3CDTF">2016-05-31T01:14:22Z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