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Calibri" w:hAnsi="Calibri" w:cs="宋体"/>
          <w:sz w:val="48"/>
          <w:szCs w:val="48"/>
          <w:lang w:val="en-US" w:eastAsia="zh-CN"/>
        </w:rPr>
      </w:pPr>
      <w:bookmarkStart w:id="0" w:name="_Toc15668"/>
      <w:bookmarkStart w:id="1" w:name="_Toc27224"/>
      <w:r>
        <w:rPr>
          <w:rFonts w:hint="eastAsia" w:ascii="Calibri" w:hAnsi="Calibri" w:cs="宋体"/>
          <w:sz w:val="48"/>
          <w:szCs w:val="48"/>
          <w:lang w:val="en-US" w:eastAsia="zh-CN"/>
        </w:rPr>
        <w:t>M端V3.0.3</w:t>
      </w:r>
      <w:r>
        <w:rPr>
          <w:rFonts w:hint="eastAsia" w:ascii="Calibri" w:hAnsi="Calibri" w:cs="宋体"/>
          <w:sz w:val="48"/>
          <w:szCs w:val="48"/>
          <w:lang w:eastAsia="zh-CN"/>
        </w:rPr>
        <w:t>需求文档</w:t>
      </w:r>
      <w:r>
        <w:rPr>
          <w:rFonts w:hint="eastAsia" w:ascii="Calibri" w:hAnsi="Calibri" w:cs="宋体"/>
          <w:sz w:val="48"/>
          <w:szCs w:val="48"/>
          <w:lang w:val="en-US" w:eastAsia="zh-CN"/>
        </w:rPr>
        <w:t>V1.1</w:t>
      </w:r>
    </w:p>
    <w:p>
      <w:pPr>
        <w:pStyle w:val="14"/>
        <w:widowControl/>
        <w:jc w:val="center"/>
        <w:outlineLvl w:val="9"/>
        <w:rPr>
          <w:rFonts w:hint="eastAsia" w:ascii="方正仿宋简体" w:hAnsi="方正仿宋简体" w:eastAsia="方正仿宋简体" w:cs="方正仿宋简体"/>
          <w:sz w:val="21"/>
          <w:szCs w:val="21"/>
        </w:rPr>
      </w:pPr>
      <w:bookmarkStart w:id="2" w:name="_Toc24893"/>
      <w:bookmarkStart w:id="3" w:name="_Toc21363"/>
      <w:bookmarkStart w:id="4" w:name="_Toc10118"/>
      <w:bookmarkStart w:id="5" w:name="_Toc19604"/>
      <w:bookmarkStart w:id="6" w:name="_Toc29572"/>
      <w:bookmarkStart w:id="7" w:name="_Toc673"/>
      <w:bookmarkStart w:id="8" w:name="_Toc19431"/>
      <w:bookmarkStart w:id="9" w:name="_Toc22184"/>
      <w:bookmarkStart w:id="10" w:name="_Toc21556"/>
      <w:bookmarkStart w:id="11" w:name="_Toc12640"/>
      <w:bookmarkStart w:id="12" w:name="_Toc13254"/>
      <w:bookmarkStart w:id="13" w:name="_Toc11298"/>
      <w:bookmarkStart w:id="14" w:name="_Toc30310"/>
      <w:bookmarkStart w:id="15" w:name="_Toc13270"/>
      <w:bookmarkStart w:id="16" w:name="_Toc31300"/>
      <w:bookmarkStart w:id="17" w:name="_Toc31796"/>
      <w:bookmarkStart w:id="18" w:name="_Toc13178"/>
      <w:r>
        <w:rPr>
          <w:rFonts w:hint="eastAsia" w:ascii="方正仿宋简体" w:hAnsi="方正仿宋简体" w:eastAsia="方正仿宋简体" w:cs="方正仿宋简体"/>
          <w:sz w:val="21"/>
          <w:szCs w:val="21"/>
        </w:rPr>
        <w:t>修订记录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21"/>
        <w:tblW w:w="8997" w:type="dxa"/>
        <w:jc w:val="center"/>
        <w:tblInd w:w="-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65"/>
        <w:gridCol w:w="1143"/>
        <w:gridCol w:w="4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文档版本号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修订日期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修订人</w:t>
            </w:r>
          </w:p>
        </w:tc>
        <w:tc>
          <w:tcPr>
            <w:tcW w:w="4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  <w:t>V1.1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  <w:t>2016-07-21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eastAsia="zh-CN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eastAsia="zh-CN"/>
              </w:rPr>
              <w:t>留敬读</w:t>
            </w:r>
          </w:p>
        </w:tc>
        <w:tc>
          <w:tcPr>
            <w:tcW w:w="4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eastAsia="zh-CN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eastAsia="zh-CN"/>
              </w:rPr>
              <w:t>去掉人员列表中添加报名功能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eastAsia="zh-CN"/>
              </w:rPr>
            </w:pPr>
          </w:p>
        </w:tc>
        <w:tc>
          <w:tcPr>
            <w:tcW w:w="4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tabs>
          <w:tab w:val="clear" w:pos="0"/>
        </w:tabs>
        <w:ind w:leftChars="0"/>
        <w:jc w:val="center"/>
        <w:rPr>
          <w:rFonts w:hint="eastAsia" w:ascii="Times New Roman" w:hAnsi="Times New Roman" w:eastAsia="宋体" w:cs="Times New Roman"/>
          <w:b/>
          <w:bCs/>
          <w:kern w:val="44"/>
          <w:sz w:val="32"/>
          <w:szCs w:val="44"/>
          <w:lang w:val="en-US" w:eastAsia="zh-CN" w:bidi="ar-SA"/>
        </w:rPr>
      </w:pPr>
      <w:bookmarkStart w:id="19" w:name="_Toc24663"/>
      <w:bookmarkStart w:id="20" w:name="_Toc19252"/>
      <w:bookmarkStart w:id="21" w:name="_Toc18222"/>
      <w:r>
        <w:rPr>
          <w:rFonts w:hint="eastAsia"/>
          <w:b/>
          <w:bCs/>
          <w:lang w:eastAsia="zh-CN"/>
        </w:rPr>
        <w:t>目录</w:t>
      </w:r>
      <w:bookmarkEnd w:id="19"/>
      <w:bookmarkEnd w:id="20"/>
      <w:bookmarkEnd w:id="21"/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TOC \o "1-2" \h \u </w:instrText>
      </w:r>
      <w:r>
        <w:rPr>
          <w:rFonts w:hint="eastAsia" w:eastAsia="宋体"/>
          <w:lang w:eastAsia="zh-CN"/>
        </w:rPr>
        <w:fldChar w:fldCharType="separate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_Toc31802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、 推广经理网页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_Toc31802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_Toc29697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推广经理登录页面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_Toc29697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_Toc3848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推广经理首页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_Toc3848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_Toc18641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人员列表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_Toc18641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_Toc1295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人员列表-分享报名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_Toc1295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_Toc21255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人员列表-扫码报名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_Toc21255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_Toc7283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二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兼客端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_Toc7283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_Toc3722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兼客M端首页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_Toc3722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_Toc24997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2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兼客合伙人申请页面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_Toc24997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_Toc28384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kern w:val="2"/>
          <w:szCs w:val="21"/>
          <w:lang w:val="en-US" w:eastAsia="zh-CN" w:bidi="ar-SA"/>
        </w:rPr>
        <w:t>兼客合伙人特权介绍页面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_Toc28384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numPr>
          <w:ilvl w:val="0"/>
          <w:numId w:val="0"/>
        </w:numPr>
        <w:tabs>
          <w:tab w:val="right" w:leader="dot" w:pos="8306"/>
        </w:tabs>
        <w:ind w:leftChars="0"/>
        <w:jc w:val="center"/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</w:p>
    <w:p>
      <w:pPr>
        <w:pStyle w:val="2"/>
        <w:tabs>
          <w:tab w:val="clear" w:pos="0"/>
        </w:tabs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bookmarkStart w:id="22" w:name="_Toc31802"/>
      <w:r>
        <w:rPr>
          <w:rFonts w:hint="eastAsia" w:cs="Times New Roman"/>
          <w:bCs/>
          <w:kern w:val="44"/>
          <w:szCs w:val="44"/>
          <w:lang w:val="en-US" w:eastAsia="zh-CN" w:bidi="ar-SA"/>
        </w:rPr>
        <w:t>推广经理网页</w:t>
      </w:r>
      <w:bookmarkEnd w:id="22"/>
    </w:p>
    <w:bookmarkEnd w:id="0"/>
    <w:bookmarkEnd w:id="1"/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3" w:name="_Toc29697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推广经理登录页面</w:t>
      </w:r>
      <w:bookmarkEnd w:id="23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drawing>
                <wp:inline distT="0" distB="0" distL="114300" distR="114300">
                  <wp:extent cx="1908175" cy="3394710"/>
                  <wp:effectExtent l="0" t="0" r="15875" b="15240"/>
                  <wp:docPr id="3" name="图片 3" descr="登录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登录@2x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175" cy="339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登录页面展示：兼客兼职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logo、账号输入框、密码输入框、登录按钮；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这边的账号和密码为城市合伙人在CRM为每一名推广经理设置的账号和密码；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账号限制11位手机号码，</w:t>
            </w:r>
            <w:r>
              <w:rPr>
                <w:rFonts w:hint="eastAsia"/>
                <w:color w:val="auto"/>
                <w:sz w:val="18"/>
                <w:highlight w:val="yellow"/>
                <w:lang w:val="en-US" w:eastAsia="zh-CN"/>
              </w:rPr>
              <w:t>这两项都为必填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这边总结归纳一份该业务的错误提示作为标准，后续产品这边不再详细罗列错误提示浮层内容：</w:t>
            </w:r>
          </w:p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账号部分：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为空：账号不能为空；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手机号位数错误：请输入11位手机号码；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密码部分：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为空：密码不能为空；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密码错误：密码错误；</w:t>
            </w:r>
          </w:p>
        </w:tc>
      </w:tr>
    </w:tbl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4" w:name="_Toc3848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推广经理首页</w:t>
      </w:r>
      <w:bookmarkEnd w:id="24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652905" cy="2940685"/>
                  <wp:effectExtent l="0" t="0" r="4445" b="12065"/>
                  <wp:docPr id="4" name="图片 4" descr="岗位列表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岗位列表@2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05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 w:val="18"/>
                <w:lang w:eastAsia="zh-CN"/>
              </w:rPr>
              <w:drawing>
                <wp:inline distT="0" distB="0" distL="114300" distR="114300">
                  <wp:extent cx="1654175" cy="2942590"/>
                  <wp:effectExtent l="0" t="0" r="3175" b="10160"/>
                  <wp:docPr id="5" name="图片 5" descr="绩效统计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绩效统计@2x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175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首页展示：岗位和绩效分段控制按钮、退出按钮，</w:t>
            </w:r>
            <w:r>
              <w:rPr>
                <w:rFonts w:hint="eastAsia"/>
                <w:sz w:val="18"/>
                <w:highlight w:val="yellow"/>
                <w:lang w:eastAsia="zh-CN"/>
              </w:rPr>
              <w:t>默认展示『岗位列表</w:t>
            </w:r>
            <w:r>
              <w:rPr>
                <w:rFonts w:hint="eastAsia"/>
                <w:sz w:val="18"/>
                <w:highlight w:val="yellow"/>
                <w:lang w:val="en-US" w:eastAsia="zh-CN"/>
              </w:rPr>
              <w:t>-正在招人</w:t>
            </w:r>
            <w:r>
              <w:rPr>
                <w:rFonts w:hint="eastAsia"/>
                <w:sz w:val="18"/>
                <w:highlight w:val="yellow"/>
                <w:lang w:eastAsia="zh-CN"/>
              </w:rPr>
              <w:t>』页面</w:t>
            </w:r>
            <w:r>
              <w:rPr>
                <w:rFonts w:hint="eastAsia"/>
                <w:sz w:val="18"/>
                <w:lang w:eastAsia="zh-CN"/>
              </w:rPr>
              <w:t>；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『岗位』页面展示：『正在招人』子页面和『已结束』子页面，每个子页面呈现岗位列表，列表信息包含岗位图标、岗位名称、工作日期、集合地点、薪资单位；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jc w:val="both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『绩效』页面展示：月份选择栏、绩效列表（招聘人数、完工人次、交易流水），</w:t>
            </w:r>
            <w:r>
              <w:rPr>
                <w:rFonts w:hint="eastAsia"/>
                <w:sz w:val="18"/>
                <w:highlight w:val="yellow"/>
                <w:lang w:eastAsia="zh-CN"/>
              </w:rPr>
              <w:t>默认显示本月截止至昨天晚上</w:t>
            </w:r>
            <w:r>
              <w:rPr>
                <w:rFonts w:hint="eastAsia"/>
                <w:sz w:val="18"/>
                <w:highlight w:val="yellow"/>
                <w:lang w:val="en-US" w:eastAsia="zh-CN"/>
              </w:rPr>
              <w:t>12点</w:t>
            </w:r>
            <w:r>
              <w:rPr>
                <w:rFonts w:hint="eastAsia"/>
                <w:sz w:val="18"/>
                <w:highlight w:val="yellow"/>
                <w:lang w:eastAsia="zh-CN"/>
              </w:rPr>
              <w:t>的业绩</w:t>
            </w:r>
            <w:r>
              <w:rPr>
                <w:rFonts w:hint="eastAsia"/>
                <w:sz w:val="18"/>
                <w:lang w:eastAsia="zh-CN"/>
              </w:rPr>
              <w:t>，时间选择栏按照月份显示，最多显示</w:t>
            </w:r>
            <w:r>
              <w:rPr>
                <w:rFonts w:hint="eastAsia"/>
                <w:sz w:val="18"/>
                <w:lang w:val="en-US" w:eastAsia="zh-CN"/>
              </w:rPr>
              <w:t>12个月菜单，最近的月份显示在最左边。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点击「退出」，退出当前账号，跳转至『登录』页面；</w:t>
            </w:r>
          </w:p>
          <w:p>
            <w:pPr>
              <w:pStyle w:val="22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点击「岗位条目」，跳转至『人员列表』页面；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5" w:name="_Toc18641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人员列表</w:t>
      </w:r>
      <w:bookmarkEnd w:id="25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推广经理点击『正在招人』或『已结束』页面下的岗位列表进入『人员列表』页面，查看岗位人员招募情况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center"/>
              <w:rPr>
                <w:rFonts w:hint="eastAsia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drawing>
                <wp:inline distT="0" distB="0" distL="114300" distR="114300">
                  <wp:extent cx="2305685" cy="4101465"/>
                  <wp:effectExtent l="0" t="0" r="18415" b="13335"/>
                  <wp:docPr id="7" name="图片 7" descr="人员列表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人员列表@2x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85" cy="410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人员列表展示该岗位所有录用人员列表，列表条目包含：兼客头像、性别、姓名、来源渠道（平台报名、人员补录、人员推广）以及底部「分享报名」、「扫码报名」三个按钮；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7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点击「分享报名」弹出『分享报名』弹窗；</w:t>
            </w:r>
          </w:p>
          <w:p>
            <w:pPr>
              <w:pStyle w:val="22"/>
              <w:numPr>
                <w:ilvl w:val="0"/>
                <w:numId w:val="7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点击「扫码报名」跳转至『扫码报名』页面；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注意：如果是通过『已结束』页面岗位条目进入『人员列表』页面，没有底部两个个按钮，这两种添加人员报名方式，本质上都是通过链接，只是不同场景下可根据具体情况选择不同方式。</w:t>
            </w:r>
          </w:p>
        </w:tc>
      </w:tr>
    </w:tbl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6" w:name="_Toc1295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人员列表</w:t>
      </w:r>
      <w:r>
        <w:rPr>
          <w:rFonts w:hint="eastAsia" w:ascii="华文黑体" w:hAnsi="华文黑体" w:eastAsia="华文黑体" w:cs="华文黑体"/>
          <w:color w:val="auto"/>
          <w:sz w:val="21"/>
          <w:szCs w:val="21"/>
          <w:lang w:val="en-US" w:eastAsia="zh-CN"/>
        </w:rPr>
        <w:t>-</w:t>
      </w:r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分享报名</w:t>
      </w:r>
      <w:bookmarkEnd w:id="26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推广经理点击「分享报</w:t>
            </w:r>
            <w:bookmarkStart w:id="32" w:name="_GoBack"/>
            <w:bookmarkEnd w:id="32"/>
            <w:r>
              <w:rPr>
                <w:rFonts w:hint="eastAsia"/>
                <w:color w:val="auto"/>
                <w:sz w:val="18"/>
                <w:lang w:eastAsia="zh-CN"/>
              </w:rPr>
              <w:t>名」按钮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2637790" cy="2647315"/>
                  <wp:effectExtent l="0" t="0" r="10160" b="63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264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点击「分享报名」弹出弹窗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color w:val="auto"/>
                <w:sz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【文本】点击链接进入[联系人]发布的【岗位名称】报名页面→http://m.jianke.cc/62a29964-63b6-40d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【按钮】复制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lang w:val="en-US" w:eastAsia="zh-CN"/>
              </w:rPr>
              <w:t>【文本】注：复制文本发送给兼客，可让兼客填写姓名、手机号码等信息快捷报名岗位。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color w:val="FF0000"/>
                <w:sz w:val="1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2"/>
                <w:sz w:val="18"/>
                <w:szCs w:val="22"/>
                <w:lang w:val="en-US" w:eastAsia="zh-CN" w:bidi="ar-SA"/>
              </w:rPr>
              <w:t>点击「复制」，将第一个文本内容复制到黏贴板上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7" w:name="_Toc21255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人员列表</w:t>
      </w:r>
      <w:r>
        <w:rPr>
          <w:rFonts w:hint="eastAsia" w:ascii="华文黑体" w:hAnsi="华文黑体" w:eastAsia="华文黑体" w:cs="华文黑体"/>
          <w:color w:val="auto"/>
          <w:sz w:val="21"/>
          <w:szCs w:val="21"/>
          <w:lang w:val="en-US" w:eastAsia="zh-CN"/>
        </w:rPr>
        <w:t>-扫码报名</w:t>
      </w:r>
      <w:bookmarkEnd w:id="27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推广人员点击扫码报名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drawing>
                <wp:inline distT="0" distB="0" distL="114300" distR="114300">
                  <wp:extent cx="1981835" cy="3524885"/>
                  <wp:effectExtent l="0" t="0" r="18415" b="18415"/>
                  <wp:docPr id="11" name="图片 11" descr="扫码报名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扫码报名@2x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3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扫码报名页面呈现岗位二维码，扫码跳转至该岗位详情页面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pStyle w:val="2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8" w:name="_Toc7283"/>
      <w:r>
        <w:rPr>
          <w:rFonts w:hint="eastAsia"/>
          <w:lang w:eastAsia="zh-CN"/>
        </w:rPr>
        <w:t>兼客端</w:t>
      </w:r>
      <w:bookmarkEnd w:id="28"/>
    </w:p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9" w:name="_Toc3722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兼客</w:t>
      </w:r>
      <w:r>
        <w:rPr>
          <w:rFonts w:hint="eastAsia" w:ascii="华文黑体" w:hAnsi="华文黑体" w:eastAsia="华文黑体" w:cs="华文黑体"/>
          <w:color w:val="auto"/>
          <w:sz w:val="21"/>
          <w:szCs w:val="21"/>
          <w:lang w:val="en-US" w:eastAsia="zh-CN"/>
        </w:rPr>
        <w:t>M端首页</w:t>
      </w:r>
      <w:bookmarkEnd w:id="29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岗位排序规则调整：由上到下依次展示置顶的岗位、</w:t>
            </w:r>
            <w:r>
              <w:rPr>
                <w:rFonts w:hint="eastAsia"/>
                <w:color w:val="auto"/>
                <w:sz w:val="18"/>
                <w:highlight w:val="yellow"/>
                <w:lang w:val="en-US" w:eastAsia="zh-CN"/>
              </w:rPr>
              <w:t>7个兼客合伙人发布的岗位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、普通雇主发布的岗位；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jc w:val="both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其中兼客合伙人发布的岗位再按照发布时间降序排列，当有新的兼客合伙人发布的岗位时，累计超过7个，则将最早发布的岗位移除，参与普通雇主发布的岗位排序（发布时间维度）；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30" w:name="_Toc24997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兼客合伙人申请页面</w:t>
      </w:r>
      <w:bookmarkEnd w:id="30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1593215" cy="8860790"/>
                  <wp:effectExtent l="0" t="0" r="6985" b="16510"/>
                  <wp:docPr id="1" name="图片 1" descr="合伙人介绍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合伙人介绍@2x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15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drawing>
                <wp:inline distT="0" distB="0" distL="114300" distR="114300">
                  <wp:extent cx="2514600" cy="2694940"/>
                  <wp:effectExtent l="0" t="0" r="0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69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该页面介绍合伙人业务，底部有申请按钮，点击申请按钮，弹出「填写申请信息」弹窗；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弹窗信息：姓名、联系电话、所在城市、平局每月招聘人次、推荐人、提交按钮，其中当用户搜索所在城市时，系统自动检索数据库中的城市并呈现在下方，用户只能选择数据库中已有的城市；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如果用户提交的号码正在申请中或已申请成功，当用户点击提交时，浮层提醒用户“该账户已申请”；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31" w:name="_Toc28384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兼客合伙人特权介绍页面</w:t>
      </w:r>
      <w:bookmarkEnd w:id="31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drawing>
                <wp:inline distT="0" distB="0" distL="114300" distR="114300">
                  <wp:extent cx="1532255" cy="2724150"/>
                  <wp:effectExtent l="0" t="0" r="10795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55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jc w:val="both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当雇主成功申请成为兼客合伙人后，在雇主首页点击「合伙人」图标，跳转至『兼客合伙人』特权介绍页面，点击「推荐给好友」弹出分享弹窗，可直接分享到社交平台；</w:t>
            </w:r>
          </w:p>
          <w:p>
            <w:pPr>
              <w:numPr>
                <w:ilvl w:val="0"/>
                <w:numId w:val="11"/>
              </w:numPr>
              <w:ind w:left="425" w:leftChars="0" w:hanging="425" w:firstLineChars="0"/>
              <w:jc w:val="both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这边的专属经理显示该兼客合伙人对应的城市合伙人信息；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与章伟沟通，嵌入app的M端可以调用分享控件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方正仿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黑体">
    <w:altName w:val="黑体"/>
    <w:panose1 w:val="00000000000000000000"/>
    <w:charset w:val="86"/>
    <w:family w:val="auto"/>
    <w:pitch w:val="default"/>
    <w:sig w:usb0="00000000" w:usb1="00000000" w:usb2="00020017" w:usb3="00000000" w:csb0="0016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 w:eastAsia="宋体"/>
        <w:lang w:val="en-US" w:eastAsia="zh-CN"/>
      </w:rPr>
      <w:t xml:space="preserve">                                  </w:t>
    </w:r>
    <w:r>
      <w:rPr>
        <w:rFonts w:hint="eastAsia"/>
        <w:lang w:eastAsia="zh-CN"/>
      </w:rPr>
      <w:t>兼客兼职需求说明文档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A240"/>
    <w:multiLevelType w:val="singleLevel"/>
    <w:tmpl w:val="578CA2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8CA452"/>
    <w:multiLevelType w:val="singleLevel"/>
    <w:tmpl w:val="578CA45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8CA4A1"/>
    <w:multiLevelType w:val="singleLevel"/>
    <w:tmpl w:val="578CA4A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8CA657"/>
    <w:multiLevelType w:val="singleLevel"/>
    <w:tmpl w:val="578CA6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78CA704"/>
    <w:multiLevelType w:val="singleLevel"/>
    <w:tmpl w:val="578CA7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78CAA78"/>
    <w:multiLevelType w:val="singleLevel"/>
    <w:tmpl w:val="578CAA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78CAB1F"/>
    <w:multiLevelType w:val="singleLevel"/>
    <w:tmpl w:val="578CAB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78F57FA"/>
    <w:multiLevelType w:val="singleLevel"/>
    <w:tmpl w:val="578F57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78F5944"/>
    <w:multiLevelType w:val="singleLevel"/>
    <w:tmpl w:val="578F59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57903F1C"/>
    <w:multiLevelType w:val="singleLevel"/>
    <w:tmpl w:val="57903F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467F3"/>
    <w:rsid w:val="008909B8"/>
    <w:rsid w:val="009A2A35"/>
    <w:rsid w:val="00A90B15"/>
    <w:rsid w:val="00AD4CA8"/>
    <w:rsid w:val="011F7565"/>
    <w:rsid w:val="0123016A"/>
    <w:rsid w:val="012B0DF9"/>
    <w:rsid w:val="016F05E9"/>
    <w:rsid w:val="01CB2F01"/>
    <w:rsid w:val="01D3250C"/>
    <w:rsid w:val="01E6152D"/>
    <w:rsid w:val="02F234DA"/>
    <w:rsid w:val="03724537"/>
    <w:rsid w:val="039F3D1D"/>
    <w:rsid w:val="03A60EAD"/>
    <w:rsid w:val="04232EE6"/>
    <w:rsid w:val="043B4AFE"/>
    <w:rsid w:val="046B474E"/>
    <w:rsid w:val="04C234CB"/>
    <w:rsid w:val="05781409"/>
    <w:rsid w:val="067937A8"/>
    <w:rsid w:val="06C059EF"/>
    <w:rsid w:val="0716432D"/>
    <w:rsid w:val="07575FEC"/>
    <w:rsid w:val="07B06AC4"/>
    <w:rsid w:val="08F12939"/>
    <w:rsid w:val="0911525F"/>
    <w:rsid w:val="09210F0A"/>
    <w:rsid w:val="094A20CE"/>
    <w:rsid w:val="099D3D97"/>
    <w:rsid w:val="0A316B49"/>
    <w:rsid w:val="0A7B2440"/>
    <w:rsid w:val="0A9D5C9B"/>
    <w:rsid w:val="0AFA0790"/>
    <w:rsid w:val="0CCF01C0"/>
    <w:rsid w:val="0D2A0A24"/>
    <w:rsid w:val="0D86333C"/>
    <w:rsid w:val="0E54720D"/>
    <w:rsid w:val="0ED82C11"/>
    <w:rsid w:val="0F244062"/>
    <w:rsid w:val="0F38760F"/>
    <w:rsid w:val="0F4E652C"/>
    <w:rsid w:val="0F821E7D"/>
    <w:rsid w:val="0FE75425"/>
    <w:rsid w:val="0FFB65AF"/>
    <w:rsid w:val="101626F1"/>
    <w:rsid w:val="10B05EFE"/>
    <w:rsid w:val="10CF7921"/>
    <w:rsid w:val="10F555E2"/>
    <w:rsid w:val="10F90765"/>
    <w:rsid w:val="118D28CE"/>
    <w:rsid w:val="11DE5560"/>
    <w:rsid w:val="12047ED4"/>
    <w:rsid w:val="12252451"/>
    <w:rsid w:val="130F58D2"/>
    <w:rsid w:val="13AF5922"/>
    <w:rsid w:val="13D72804"/>
    <w:rsid w:val="13F413C8"/>
    <w:rsid w:val="142B7D49"/>
    <w:rsid w:val="143F24E9"/>
    <w:rsid w:val="145923F1"/>
    <w:rsid w:val="157D6CD0"/>
    <w:rsid w:val="15960C7B"/>
    <w:rsid w:val="15C13647"/>
    <w:rsid w:val="17172944"/>
    <w:rsid w:val="180D3B06"/>
    <w:rsid w:val="188F7558"/>
    <w:rsid w:val="18A474FD"/>
    <w:rsid w:val="18F60201"/>
    <w:rsid w:val="19037516"/>
    <w:rsid w:val="19347369"/>
    <w:rsid w:val="1969792A"/>
    <w:rsid w:val="19EF6BB7"/>
    <w:rsid w:val="1A0047A7"/>
    <w:rsid w:val="1A7309F2"/>
    <w:rsid w:val="1B38267B"/>
    <w:rsid w:val="1B4119B3"/>
    <w:rsid w:val="1B4F0BD7"/>
    <w:rsid w:val="1C307C2C"/>
    <w:rsid w:val="1C8F7A94"/>
    <w:rsid w:val="1CB0554B"/>
    <w:rsid w:val="1CD6358A"/>
    <w:rsid w:val="1CF40D7E"/>
    <w:rsid w:val="1DAA72BB"/>
    <w:rsid w:val="1E495B3F"/>
    <w:rsid w:val="1E4A7296"/>
    <w:rsid w:val="1E782E0B"/>
    <w:rsid w:val="1EB3096C"/>
    <w:rsid w:val="1EE03AB4"/>
    <w:rsid w:val="1F9F2476"/>
    <w:rsid w:val="1FDE39D7"/>
    <w:rsid w:val="20546E99"/>
    <w:rsid w:val="21C24E71"/>
    <w:rsid w:val="22201FB7"/>
    <w:rsid w:val="223076A3"/>
    <w:rsid w:val="223D0F38"/>
    <w:rsid w:val="23816A21"/>
    <w:rsid w:val="246918CD"/>
    <w:rsid w:val="24A77B85"/>
    <w:rsid w:val="24B8164C"/>
    <w:rsid w:val="261D6994"/>
    <w:rsid w:val="269E01E7"/>
    <w:rsid w:val="26F853FE"/>
    <w:rsid w:val="28EF7C63"/>
    <w:rsid w:val="28FD484F"/>
    <w:rsid w:val="29053E59"/>
    <w:rsid w:val="292D1373"/>
    <w:rsid w:val="295832AC"/>
    <w:rsid w:val="296B08E4"/>
    <w:rsid w:val="29BB2683"/>
    <w:rsid w:val="2A012DF7"/>
    <w:rsid w:val="2A0C123A"/>
    <w:rsid w:val="2B612917"/>
    <w:rsid w:val="2BBA5C4E"/>
    <w:rsid w:val="2BCA5C66"/>
    <w:rsid w:val="2BEC169E"/>
    <w:rsid w:val="2BFF7030"/>
    <w:rsid w:val="2C26020C"/>
    <w:rsid w:val="2CA455C9"/>
    <w:rsid w:val="2CE9283B"/>
    <w:rsid w:val="2D2C202A"/>
    <w:rsid w:val="2D2C35D9"/>
    <w:rsid w:val="2D541EEA"/>
    <w:rsid w:val="2DEB1164"/>
    <w:rsid w:val="2E10009F"/>
    <w:rsid w:val="2E393461"/>
    <w:rsid w:val="2E396CE5"/>
    <w:rsid w:val="2E7546EF"/>
    <w:rsid w:val="2EA42B11"/>
    <w:rsid w:val="2EF53F8A"/>
    <w:rsid w:val="2F0F4AD3"/>
    <w:rsid w:val="303F3BB7"/>
    <w:rsid w:val="305149A1"/>
    <w:rsid w:val="309032BD"/>
    <w:rsid w:val="30E126EC"/>
    <w:rsid w:val="31144E94"/>
    <w:rsid w:val="312D7FBC"/>
    <w:rsid w:val="3201709B"/>
    <w:rsid w:val="326E63CA"/>
    <w:rsid w:val="32A852AA"/>
    <w:rsid w:val="32D75DF9"/>
    <w:rsid w:val="33356193"/>
    <w:rsid w:val="33735C77"/>
    <w:rsid w:val="33742285"/>
    <w:rsid w:val="33A263E1"/>
    <w:rsid w:val="33C024F3"/>
    <w:rsid w:val="33C47230"/>
    <w:rsid w:val="34153282"/>
    <w:rsid w:val="345E497B"/>
    <w:rsid w:val="346F4C16"/>
    <w:rsid w:val="34ED5C9C"/>
    <w:rsid w:val="352C2A4A"/>
    <w:rsid w:val="35E836B2"/>
    <w:rsid w:val="35F16BB1"/>
    <w:rsid w:val="36C27A98"/>
    <w:rsid w:val="373E2490"/>
    <w:rsid w:val="37DB03D6"/>
    <w:rsid w:val="385122F2"/>
    <w:rsid w:val="39992888"/>
    <w:rsid w:val="39F9586F"/>
    <w:rsid w:val="3A415332"/>
    <w:rsid w:val="3A4E4336"/>
    <w:rsid w:val="3AAF5655"/>
    <w:rsid w:val="3B0527E0"/>
    <w:rsid w:val="3B800FEE"/>
    <w:rsid w:val="3C14299D"/>
    <w:rsid w:val="3C697494"/>
    <w:rsid w:val="3CDE36EB"/>
    <w:rsid w:val="3CE2566C"/>
    <w:rsid w:val="3DB939D6"/>
    <w:rsid w:val="3DC31577"/>
    <w:rsid w:val="3E5B195E"/>
    <w:rsid w:val="3ED328A1"/>
    <w:rsid w:val="3F584CF9"/>
    <w:rsid w:val="3F5B382F"/>
    <w:rsid w:val="3F852345"/>
    <w:rsid w:val="3FAB6D01"/>
    <w:rsid w:val="406861BB"/>
    <w:rsid w:val="408753EB"/>
    <w:rsid w:val="40962182"/>
    <w:rsid w:val="40BB4940"/>
    <w:rsid w:val="40BC23C2"/>
    <w:rsid w:val="414F4ADE"/>
    <w:rsid w:val="42101D5F"/>
    <w:rsid w:val="422954B3"/>
    <w:rsid w:val="42C102CC"/>
    <w:rsid w:val="43365054"/>
    <w:rsid w:val="43BB74AB"/>
    <w:rsid w:val="446951F1"/>
    <w:rsid w:val="45C00E7A"/>
    <w:rsid w:val="45E5531E"/>
    <w:rsid w:val="461B3B13"/>
    <w:rsid w:val="461C7D7A"/>
    <w:rsid w:val="46E10B07"/>
    <w:rsid w:val="4730365B"/>
    <w:rsid w:val="47A47D96"/>
    <w:rsid w:val="496A1C80"/>
    <w:rsid w:val="499A49CE"/>
    <w:rsid w:val="49B123F5"/>
    <w:rsid w:val="4A9D0D79"/>
    <w:rsid w:val="4B082FA5"/>
    <w:rsid w:val="4B863275"/>
    <w:rsid w:val="4B9F3E1E"/>
    <w:rsid w:val="4C5D2508"/>
    <w:rsid w:val="4CE11544"/>
    <w:rsid w:val="4D547FED"/>
    <w:rsid w:val="4D5B4A81"/>
    <w:rsid w:val="4D5E2B27"/>
    <w:rsid w:val="4DBC6717"/>
    <w:rsid w:val="4E05458D"/>
    <w:rsid w:val="4E2373C0"/>
    <w:rsid w:val="4ED86E3A"/>
    <w:rsid w:val="4F6B5159"/>
    <w:rsid w:val="4FEB4539"/>
    <w:rsid w:val="50AB6F44"/>
    <w:rsid w:val="51A86EEB"/>
    <w:rsid w:val="52611774"/>
    <w:rsid w:val="52690404"/>
    <w:rsid w:val="53117559"/>
    <w:rsid w:val="54141D37"/>
    <w:rsid w:val="548C426F"/>
    <w:rsid w:val="55944DB0"/>
    <w:rsid w:val="55B6240E"/>
    <w:rsid w:val="565250AC"/>
    <w:rsid w:val="568C3F8D"/>
    <w:rsid w:val="569E17CC"/>
    <w:rsid w:val="56C553EB"/>
    <w:rsid w:val="583A39B9"/>
    <w:rsid w:val="58427DDB"/>
    <w:rsid w:val="58C60BA0"/>
    <w:rsid w:val="592C57DA"/>
    <w:rsid w:val="599B5C81"/>
    <w:rsid w:val="59BD1846"/>
    <w:rsid w:val="5A0E034B"/>
    <w:rsid w:val="5AAA72D0"/>
    <w:rsid w:val="5B761E9C"/>
    <w:rsid w:val="5C3C0960"/>
    <w:rsid w:val="5CE57AF4"/>
    <w:rsid w:val="5D122F42"/>
    <w:rsid w:val="5D41498A"/>
    <w:rsid w:val="5DF222EA"/>
    <w:rsid w:val="5E0D665D"/>
    <w:rsid w:val="5E7C5660"/>
    <w:rsid w:val="5E996241"/>
    <w:rsid w:val="5EC01983"/>
    <w:rsid w:val="5EDA7074"/>
    <w:rsid w:val="5F2C3231"/>
    <w:rsid w:val="5FF32FFA"/>
    <w:rsid w:val="607B63D6"/>
    <w:rsid w:val="61553074"/>
    <w:rsid w:val="6170126D"/>
    <w:rsid w:val="6171618A"/>
    <w:rsid w:val="61BD5AE9"/>
    <w:rsid w:val="62CF16DE"/>
    <w:rsid w:val="632A3AC1"/>
    <w:rsid w:val="63D15F4C"/>
    <w:rsid w:val="63FB6398"/>
    <w:rsid w:val="64622E18"/>
    <w:rsid w:val="64B44DE4"/>
    <w:rsid w:val="64C45DE1"/>
    <w:rsid w:val="653C05F7"/>
    <w:rsid w:val="654650B5"/>
    <w:rsid w:val="65A75B69"/>
    <w:rsid w:val="664452D2"/>
    <w:rsid w:val="664F5567"/>
    <w:rsid w:val="66544301"/>
    <w:rsid w:val="66D435C2"/>
    <w:rsid w:val="66D72C4D"/>
    <w:rsid w:val="670F2D2D"/>
    <w:rsid w:val="67371FE2"/>
    <w:rsid w:val="67C11F46"/>
    <w:rsid w:val="684031AE"/>
    <w:rsid w:val="686B38D7"/>
    <w:rsid w:val="693F23E4"/>
    <w:rsid w:val="696638FC"/>
    <w:rsid w:val="699B4CCF"/>
    <w:rsid w:val="6A0379BC"/>
    <w:rsid w:val="6B3A3476"/>
    <w:rsid w:val="6BF5162B"/>
    <w:rsid w:val="6D1C7E8F"/>
    <w:rsid w:val="6D6B58E0"/>
    <w:rsid w:val="6DBE449A"/>
    <w:rsid w:val="6E514D05"/>
    <w:rsid w:val="6EA36CF2"/>
    <w:rsid w:val="6ECD4657"/>
    <w:rsid w:val="6FC85B74"/>
    <w:rsid w:val="6FDC3946"/>
    <w:rsid w:val="6FF143B3"/>
    <w:rsid w:val="70500F50"/>
    <w:rsid w:val="705467F3"/>
    <w:rsid w:val="706978FC"/>
    <w:rsid w:val="70AD3868"/>
    <w:rsid w:val="71340DDD"/>
    <w:rsid w:val="719E6674"/>
    <w:rsid w:val="71C77838"/>
    <w:rsid w:val="72004E62"/>
    <w:rsid w:val="721E31D9"/>
    <w:rsid w:val="72611747"/>
    <w:rsid w:val="734039AC"/>
    <w:rsid w:val="735E4456"/>
    <w:rsid w:val="743608B6"/>
    <w:rsid w:val="74E57755"/>
    <w:rsid w:val="74ED712A"/>
    <w:rsid w:val="754A4D6E"/>
    <w:rsid w:val="759221E5"/>
    <w:rsid w:val="75C8104D"/>
    <w:rsid w:val="75CA0CCD"/>
    <w:rsid w:val="75D75E3A"/>
    <w:rsid w:val="77276A0B"/>
    <w:rsid w:val="774352C0"/>
    <w:rsid w:val="779A0F48"/>
    <w:rsid w:val="78326893"/>
    <w:rsid w:val="785E3166"/>
    <w:rsid w:val="78A06277"/>
    <w:rsid w:val="78A42CD6"/>
    <w:rsid w:val="79034C41"/>
    <w:rsid w:val="79291653"/>
    <w:rsid w:val="797265CF"/>
    <w:rsid w:val="799F4B15"/>
    <w:rsid w:val="79D2406A"/>
    <w:rsid w:val="7A8B129B"/>
    <w:rsid w:val="7AC77DFB"/>
    <w:rsid w:val="7ADD5821"/>
    <w:rsid w:val="7B11172D"/>
    <w:rsid w:val="7C7F29C6"/>
    <w:rsid w:val="7C8810E0"/>
    <w:rsid w:val="7C8D6644"/>
    <w:rsid w:val="7D3127F3"/>
    <w:rsid w:val="7DD2457A"/>
    <w:rsid w:val="7E3C05AB"/>
    <w:rsid w:val="7EB4453D"/>
    <w:rsid w:val="7F0555F0"/>
    <w:rsid w:val="7F32753D"/>
    <w:rsid w:val="7FA26D74"/>
    <w:rsid w:val="7FBF64D7"/>
    <w:rsid w:val="7FD408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Subtitle"/>
    <w:basedOn w:val="1"/>
    <w:next w:val="1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default" w:ascii="Cambria" w:hAnsi="Cambria" w:eastAsia="宋体" w:cs="Times New Roman"/>
      <w:b/>
      <w:kern w:val="28"/>
      <w:sz w:val="32"/>
      <w:szCs w:val="32"/>
      <w:lang w:val="en-US" w:eastAsia="zh-CN" w:bidi="ar-SA"/>
    </w:r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annotation reference"/>
    <w:qFormat/>
    <w:uiPriority w:val="0"/>
    <w:rPr>
      <w:sz w:val="21"/>
      <w:szCs w:val="21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2016-03-26T09:22:00Z</dcterms:created>
  <dc:creator>Administrator</dc:creator>
  <cp:lastModifiedBy>Administrator</cp:lastModifiedBy>
  <dcterms:modified xsi:type="dcterms:W3CDTF">2016-07-30T06:39:08Z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