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家庭 AI 代理人｜第一期 MVP PRD</w:t>
      </w:r>
    </w:p>
    <w:p>
      <w:pPr>
        <w:pStyle w:val="Subtitle"/>
      </w:pPr>
      <w:r>
        <w:t>个人生活事务整理与跟进 · 最小业务闭环 · 验收与实验方案</w:t>
      </w:r>
    </w:p>
    <w:p>
      <w:r>
        <w:t>版本：V0.1（研究与立项草案）   |   日期：2026-09-23   |   状态：待用户验证</w:t>
      </w:r>
    </w:p>
    <w:p>
      <w:r>
        <w:t>文档原则：公开证据 ≠ 中国多代同住家庭的直接需求验证；竞品公开能力 ≠ 已实测效果；示例场景 ≠ 访谈事实。</w:t>
      </w:r>
    </w:p>
    <w:p>
      <w:pPr>
        <w:pStyle w:val="Heading1"/>
      </w:pPr>
      <w:r>
        <w:t>0. 文档状态与决策</w:t>
      </w:r>
    </w:p>
    <w:p>
      <w:r>
        <w:t>版本性质：待验证 MVP 提案（非已批准上线需求）。依据：产品调研报告 V0.1 的 H01/H02；尚无目标家庭一手访谈，因此任何范围与阈值均为供验证的暂定条件。</w:t>
      </w:r>
    </w:p>
    <w:p>
      <w:r>
        <w:t>核心目标：帮助一位成年用户将主动提供的生活信息转成经过本人确认的可跟进事项，减少重复整理与记忆负担。用户独立可用，不要求家庭成员注册。</w:t>
      </w:r>
    </w:p>
    <w:p>
      <w:pPr>
        <w:pStyle w:val="Heading1"/>
      </w:pPr>
      <w:r>
        <w:t>1. 问题、用户与非目标</w:t>
      </w:r>
    </w:p>
    <w:tbl>
      <w:tblPr>
        <w:tblStyle w:val="TableGrid"/>
        <w:tblW w:type="auto" w:w="0"/>
        <w:jc w:val="center"/>
        <w:tblLook w:firstColumn="1" w:firstRow="1" w:lastColumn="0" w:lastRow="0" w:noHBand="0" w:noVBand="1" w:val="04A0"/>
      </w:tblPr>
      <w:tblGrid>
        <w:gridCol w:w="4939"/>
        <w:gridCol w:w="4939"/>
      </w:tblGrid>
      <w:tr>
        <w:tc>
          <w:tcPr>
            <w:tcW w:type="dxa" w:w="4939"/>
            <w:shd w:fill="DCE9F4"/>
          </w:tcPr>
          <w:p>
            <w:pPr>
              <w:spacing w:after="40"/>
            </w:pPr>
            <w:r>
              <w:rPr>
                <w:sz w:val="18"/>
              </w:rPr>
              <w:t>主题</w:t>
            </w:r>
          </w:p>
        </w:tc>
        <w:tc>
          <w:tcPr>
            <w:tcW w:type="dxa" w:w="4939"/>
            <w:shd w:fill="DCE9F4"/>
          </w:tcPr>
          <w:p>
            <w:pPr>
              <w:spacing w:after="40"/>
            </w:pPr>
            <w:r>
              <w:rPr>
                <w:sz w:val="18"/>
              </w:rPr>
              <w:t>定义</w:t>
            </w:r>
          </w:p>
        </w:tc>
      </w:tr>
      <w:tr>
        <w:tc>
          <w:tcPr>
            <w:tcW w:type="dxa" w:w="4939"/>
            <w:vAlign w:val="center"/>
          </w:tcPr>
          <w:p>
            <w:pPr>
              <w:spacing w:after="40"/>
            </w:pPr>
            <w:r>
              <w:rPr>
                <w:sz w:val="18"/>
              </w:rPr>
              <w:t>目标用户</w:t>
            </w:r>
          </w:p>
        </w:tc>
        <w:tc>
          <w:tcPr>
            <w:tcW w:type="dxa" w:w="4939"/>
            <w:vAlign w:val="center"/>
          </w:tcPr>
          <w:p>
            <w:pPr>
              <w:spacing w:after="40"/>
            </w:pPr>
            <w:r>
              <w:rPr>
                <w:sz w:val="18"/>
              </w:rPr>
              <w:t>多代同住家庭中需要处理日常事务的成年成员，不预设其性别、身份或一定由谁负责</w:t>
            </w:r>
          </w:p>
        </w:tc>
      </w:tr>
      <w:tr>
        <w:tc>
          <w:tcPr>
            <w:tcW w:type="dxa" w:w="4939"/>
            <w:vAlign w:val="center"/>
          </w:tcPr>
          <w:p>
            <w:pPr>
              <w:spacing w:after="40"/>
            </w:pPr>
            <w:r>
              <w:rPr>
                <w:sz w:val="18"/>
              </w:rPr>
              <w:t>待验证问题</w:t>
            </w:r>
          </w:p>
        </w:tc>
        <w:tc>
          <w:tcPr>
            <w:tcW w:type="dxa" w:w="4939"/>
            <w:vAlign w:val="center"/>
          </w:tcPr>
          <w:p>
            <w:pPr>
              <w:spacing w:after="40"/>
            </w:pPr>
            <w:r>
              <w:rPr>
                <w:sz w:val="18"/>
              </w:rPr>
              <w:t>生活信息分散，用户需自己整理待办、记住时间并反复检查；现有提醒工具是否不足待调查</w:t>
            </w:r>
          </w:p>
        </w:tc>
      </w:tr>
      <w:tr>
        <w:tc>
          <w:tcPr>
            <w:tcW w:type="dxa" w:w="4939"/>
            <w:vAlign w:val="center"/>
          </w:tcPr>
          <w:p>
            <w:pPr>
              <w:spacing w:after="40"/>
            </w:pPr>
            <w:r>
              <w:rPr>
                <w:sz w:val="18"/>
              </w:rPr>
              <w:t>使用契机</w:t>
            </w:r>
          </w:p>
        </w:tc>
        <w:tc>
          <w:tcPr>
            <w:tcW w:type="dxa" w:w="4939"/>
            <w:vAlign w:val="center"/>
          </w:tcPr>
          <w:p>
            <w:pPr>
              <w:spacing w:after="40"/>
            </w:pPr>
            <w:r>
              <w:rPr>
                <w:sz w:val="18"/>
              </w:rPr>
              <w:t>收到需后续处理的通知/口头得知一件事/想到一项日常事务</w:t>
            </w:r>
          </w:p>
        </w:tc>
      </w:tr>
      <w:tr>
        <w:tc>
          <w:tcPr>
            <w:tcW w:type="dxa" w:w="4939"/>
            <w:vAlign w:val="center"/>
          </w:tcPr>
          <w:p>
            <w:pPr>
              <w:spacing w:after="40"/>
            </w:pPr>
            <w:r>
              <w:rPr>
                <w:sz w:val="18"/>
              </w:rPr>
              <w:t>非目标</w:t>
            </w:r>
          </w:p>
        </w:tc>
        <w:tc>
          <w:tcPr>
            <w:tcW w:type="dxa" w:w="4939"/>
            <w:vAlign w:val="center"/>
          </w:tcPr>
          <w:p>
            <w:pPr>
              <w:spacing w:after="40"/>
            </w:pPr>
            <w:r>
              <w:rPr>
                <w:sz w:val="18"/>
              </w:rPr>
              <w:t>首期不做多成员协作、自动阅读微信/邮箱、外部代办、医疗建议、支付/自动报名、儿童独立账号、全屋设备控制</w:t>
            </w:r>
          </w:p>
        </w:tc>
      </w:tr>
      <w:tr>
        <w:tc>
          <w:tcPr>
            <w:tcW w:type="dxa" w:w="4939"/>
            <w:vAlign w:val="center"/>
          </w:tcPr>
          <w:p>
            <w:pPr>
              <w:spacing w:after="40"/>
            </w:pPr>
            <w:r>
              <w:rPr>
                <w:sz w:val="18"/>
              </w:rPr>
              <w:t>价值定义</w:t>
            </w:r>
          </w:p>
        </w:tc>
        <w:tc>
          <w:tcPr>
            <w:tcW w:type="dxa" w:w="4939"/>
            <w:vAlign w:val="center"/>
          </w:tcPr>
          <w:p>
            <w:pPr>
              <w:spacing w:after="40"/>
            </w:pPr>
            <w:r>
              <w:rPr>
                <w:sz w:val="18"/>
              </w:rPr>
              <w:t>同类事务中，在准确完成前提下减少整理+跟进的人为负担，而非仅增加提醒数量</w:t>
            </w:r>
          </w:p>
        </w:tc>
      </w:tr>
    </w:tbl>
    <w:p>
      <w:pPr>
        <w:pStyle w:val="Heading1"/>
      </w:pPr>
      <w:r>
        <w:t>2. 端到端场景与业务闭环</w:t>
      </w:r>
    </w:p>
    <w:p>
      <w:r>
        <w:t>典型假设：用户收到“周五前准备某项材料”的通知，将文字复制给自己的代理人；代理人生成草稿并指出不确定之处；本人确认时间与事项；代理人按确认的提醒方式跟进；用户标记完成或取消。</w:t>
      </w:r>
    </w:p>
    <w:p>
      <w:r>
        <w:t>闭环：用户主动提交 → 提取候选事项 → 标示来源与缺失项 → 用户修改/确认 → 事项建立 → 到期提醒 → 用户完成/取消/调整 → 反馈与删除控制。所有示例均为假设情境。</w:t>
      </w:r>
    </w:p>
    <w:p>
      <w:pPr>
        <w:pStyle w:val="Heading1"/>
      </w:pPr>
      <w:r>
        <w:t>3. 优先级与范围</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CE9F4"/>
          </w:tcPr>
          <w:p>
            <w:pPr>
              <w:spacing w:after="40"/>
            </w:pPr>
            <w:r>
              <w:rPr>
                <w:sz w:val="18"/>
              </w:rPr>
              <w:t>P0 必须</w:t>
            </w:r>
          </w:p>
        </w:tc>
        <w:tc>
          <w:tcPr>
            <w:tcW w:type="dxa" w:w="3293"/>
            <w:shd w:fill="DCE9F4"/>
          </w:tcPr>
          <w:p>
            <w:pPr>
              <w:spacing w:after="40"/>
            </w:pPr>
            <w:r>
              <w:rPr>
                <w:sz w:val="18"/>
              </w:rPr>
              <w:t>P1 验证后扩展</w:t>
            </w:r>
          </w:p>
        </w:tc>
        <w:tc>
          <w:tcPr>
            <w:tcW w:type="dxa" w:w="3293"/>
            <w:shd w:fill="DCE9F4"/>
          </w:tcPr>
          <w:p>
            <w:pPr>
              <w:spacing w:after="40"/>
            </w:pPr>
            <w:r>
              <w:rPr>
                <w:sz w:val="18"/>
              </w:rPr>
              <w:t>明确排除</w:t>
            </w:r>
          </w:p>
        </w:tc>
      </w:tr>
      <w:tr>
        <w:tc>
          <w:tcPr>
            <w:tcW w:type="dxa" w:w="3293"/>
            <w:vAlign w:val="center"/>
          </w:tcPr>
          <w:p>
            <w:pPr>
              <w:spacing w:after="40"/>
            </w:pPr>
            <w:r>
              <w:rPr>
                <w:sz w:val="18"/>
              </w:rPr>
              <w:t>文字输入与粘贴；独立个人事项</w:t>
            </w:r>
          </w:p>
        </w:tc>
        <w:tc>
          <w:tcPr>
            <w:tcW w:type="dxa" w:w="3293"/>
            <w:vAlign w:val="center"/>
          </w:tcPr>
          <w:p>
            <w:pPr>
              <w:spacing w:after="40"/>
            </w:pPr>
            <w:r>
              <w:rPr>
                <w:sz w:val="18"/>
              </w:rPr>
              <w:t>图片通知的人工上传与识别</w:t>
            </w:r>
          </w:p>
        </w:tc>
        <w:tc>
          <w:tcPr>
            <w:tcW w:type="dxa" w:w="3293"/>
            <w:vAlign w:val="center"/>
          </w:tcPr>
          <w:p>
            <w:pPr>
              <w:spacing w:after="40"/>
            </w:pPr>
            <w:r>
              <w:rPr>
                <w:sz w:val="18"/>
              </w:rPr>
              <w:t>自动读取微信群/系统消息</w:t>
            </w:r>
          </w:p>
        </w:tc>
      </w:tr>
      <w:tr>
        <w:tc>
          <w:tcPr>
            <w:tcW w:type="dxa" w:w="3293"/>
            <w:vAlign w:val="center"/>
          </w:tcPr>
          <w:p>
            <w:pPr>
              <w:spacing w:after="40"/>
            </w:pPr>
            <w:r>
              <w:rPr>
                <w:sz w:val="18"/>
              </w:rPr>
              <w:t>单事项草稿、时间/地点/正文核对</w:t>
            </w:r>
          </w:p>
        </w:tc>
        <w:tc>
          <w:tcPr>
            <w:tcW w:type="dxa" w:w="3293"/>
            <w:vAlign w:val="center"/>
          </w:tcPr>
          <w:p>
            <w:pPr>
              <w:spacing w:after="40"/>
            </w:pPr>
            <w:r>
              <w:rPr>
                <w:sz w:val="18"/>
              </w:rPr>
              <w:t>一次输入拆分多个事项</w:t>
            </w:r>
          </w:p>
        </w:tc>
        <w:tc>
          <w:tcPr>
            <w:tcW w:type="dxa" w:w="3293"/>
            <w:vAlign w:val="center"/>
          </w:tcPr>
          <w:p>
            <w:pPr>
              <w:spacing w:after="40"/>
            </w:pPr>
            <w:r>
              <w:rPr>
                <w:sz w:val="18"/>
              </w:rPr>
              <w:t>外部平台自动执行</w:t>
            </w:r>
          </w:p>
        </w:tc>
      </w:tr>
      <w:tr>
        <w:tc>
          <w:tcPr>
            <w:tcW w:type="dxa" w:w="3293"/>
            <w:vAlign w:val="center"/>
          </w:tcPr>
          <w:p>
            <w:pPr>
              <w:spacing w:after="40"/>
            </w:pPr>
            <w:r>
              <w:rPr>
                <w:sz w:val="18"/>
              </w:rPr>
              <w:t>确认/编辑/放弃、未确认不入库</w:t>
            </w:r>
          </w:p>
        </w:tc>
        <w:tc>
          <w:tcPr>
            <w:tcW w:type="dxa" w:w="3293"/>
            <w:vAlign w:val="center"/>
          </w:tcPr>
          <w:p>
            <w:pPr>
              <w:spacing w:after="40"/>
            </w:pPr>
            <w:r>
              <w:rPr>
                <w:sz w:val="18"/>
              </w:rPr>
              <w:t>个人重复性事务模板</w:t>
            </w:r>
          </w:p>
        </w:tc>
        <w:tc>
          <w:tcPr>
            <w:tcW w:type="dxa" w:w="3293"/>
            <w:vAlign w:val="center"/>
          </w:tcPr>
          <w:p>
            <w:pPr>
              <w:spacing w:after="40"/>
            </w:pPr>
            <w:r>
              <w:rPr>
                <w:sz w:val="18"/>
              </w:rPr>
              <w:t>家庭共享任务和跨成员代理协作</w:t>
            </w:r>
          </w:p>
        </w:tc>
      </w:tr>
      <w:tr>
        <w:tc>
          <w:tcPr>
            <w:tcW w:type="dxa" w:w="3293"/>
            <w:vAlign w:val="center"/>
          </w:tcPr>
          <w:p>
            <w:pPr>
              <w:spacing w:after="40"/>
            </w:pPr>
            <w:r>
              <w:rPr>
                <w:sz w:val="18"/>
              </w:rPr>
              <w:t>状态、提醒设置、完成/取消/改期</w:t>
            </w:r>
          </w:p>
        </w:tc>
        <w:tc>
          <w:tcPr>
            <w:tcW w:type="dxa" w:w="3293"/>
            <w:vAlign w:val="center"/>
          </w:tcPr>
          <w:p>
            <w:pPr>
              <w:spacing w:after="40"/>
            </w:pPr>
            <w:r>
              <w:rPr>
                <w:sz w:val="18"/>
              </w:rPr>
              <w:t>低打扰的摘要简报</w:t>
            </w:r>
          </w:p>
        </w:tc>
        <w:tc>
          <w:tcPr>
            <w:tcW w:type="dxa" w:w="3293"/>
            <w:vAlign w:val="center"/>
          </w:tcPr>
          <w:p>
            <w:pPr>
              <w:spacing w:after="40"/>
            </w:pPr>
            <w:r>
              <w:rPr>
                <w:sz w:val="18"/>
              </w:rPr>
              <w:t>健康诊断、用药调整、代缴费用</w:t>
            </w:r>
          </w:p>
        </w:tc>
      </w:tr>
      <w:tr>
        <w:tc>
          <w:tcPr>
            <w:tcW w:type="dxa" w:w="3293"/>
            <w:vAlign w:val="center"/>
          </w:tcPr>
          <w:p>
            <w:pPr>
              <w:spacing w:after="40"/>
            </w:pPr>
            <w:r>
              <w:rPr>
                <w:sz w:val="18"/>
              </w:rPr>
              <w:t>基本隐私控制、删除与提醒开关</w:t>
            </w:r>
          </w:p>
        </w:tc>
        <w:tc>
          <w:tcPr>
            <w:tcW w:type="dxa" w:w="3293"/>
            <w:vAlign w:val="center"/>
          </w:tcPr>
          <w:p>
            <w:pPr>
              <w:spacing w:after="40"/>
            </w:pPr>
            <w:r>
              <w:rPr>
                <w:sz w:val="18"/>
              </w:rPr>
              <w:t>个人偏好自定义</w:t>
            </w:r>
          </w:p>
        </w:tc>
        <w:tc>
          <w:tcPr>
            <w:tcW w:type="dxa" w:w="3293"/>
            <w:vAlign w:val="center"/>
          </w:tcPr>
          <w:p>
            <w:pPr>
              <w:spacing w:after="40"/>
            </w:pPr>
            <w:r>
              <w:rPr>
                <w:sz w:val="18"/>
              </w:rPr>
              <w:t>自动向家属共享信息</w:t>
            </w:r>
          </w:p>
        </w:tc>
      </w:tr>
    </w:tbl>
    <w:p>
      <w:pPr>
        <w:pStyle w:val="Heading1"/>
      </w:pPr>
      <w:r>
        <w:t>4. 最小需求清单与业务验收</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CE9F4"/>
          </w:tcPr>
          <w:p>
            <w:pPr>
              <w:spacing w:after="40"/>
            </w:pPr>
            <w:r>
              <w:rPr>
                <w:sz w:val="18"/>
              </w:rPr>
              <w:t>ID</w:t>
            </w:r>
          </w:p>
        </w:tc>
        <w:tc>
          <w:tcPr>
            <w:tcW w:type="dxa" w:w="3293"/>
            <w:shd w:fill="DCE9F4"/>
          </w:tcPr>
          <w:p>
            <w:pPr>
              <w:spacing w:after="40"/>
            </w:pPr>
            <w:r>
              <w:rPr>
                <w:sz w:val="18"/>
              </w:rPr>
              <w:t>需求与核心规则</w:t>
            </w:r>
          </w:p>
        </w:tc>
        <w:tc>
          <w:tcPr>
            <w:tcW w:type="dxa" w:w="3293"/>
            <w:shd w:fill="DCE9F4"/>
          </w:tcPr>
          <w:p>
            <w:pPr>
              <w:spacing w:after="40"/>
            </w:pPr>
            <w:r>
              <w:rPr>
                <w:sz w:val="18"/>
              </w:rPr>
              <w:t>验收条件</w:t>
            </w:r>
          </w:p>
        </w:tc>
      </w:tr>
      <w:tr>
        <w:tc>
          <w:tcPr>
            <w:tcW w:type="dxa" w:w="3293"/>
            <w:vAlign w:val="center"/>
          </w:tcPr>
          <w:p>
            <w:pPr>
              <w:spacing w:after="40"/>
            </w:pPr>
            <w:r>
              <w:rPr>
                <w:sz w:val="18"/>
              </w:rPr>
              <w:t>M01</w:t>
            </w:r>
          </w:p>
        </w:tc>
        <w:tc>
          <w:tcPr>
            <w:tcW w:type="dxa" w:w="3293"/>
            <w:vAlign w:val="center"/>
          </w:tcPr>
          <w:p>
            <w:pPr>
              <w:spacing w:after="40"/>
            </w:pPr>
            <w:r>
              <w:rPr>
                <w:sz w:val="18"/>
              </w:rPr>
              <w:t>用户主动提供一段文字；非用户提交的外部数据不可擅自读取</w:t>
            </w:r>
          </w:p>
        </w:tc>
        <w:tc>
          <w:tcPr>
            <w:tcW w:type="dxa" w:w="3293"/>
            <w:vAlign w:val="center"/>
          </w:tcPr>
          <w:p>
            <w:pPr>
              <w:spacing w:after="40"/>
            </w:pPr>
            <w:r>
              <w:rPr>
                <w:sz w:val="18"/>
              </w:rPr>
              <w:t>输入可撤回；空内容提示；不默认共享</w:t>
            </w:r>
          </w:p>
        </w:tc>
      </w:tr>
      <w:tr>
        <w:tc>
          <w:tcPr>
            <w:tcW w:type="dxa" w:w="3293"/>
            <w:vAlign w:val="center"/>
          </w:tcPr>
          <w:p>
            <w:pPr>
              <w:spacing w:after="40"/>
            </w:pPr>
            <w:r>
              <w:rPr>
                <w:sz w:val="18"/>
              </w:rPr>
              <w:t>M02</w:t>
            </w:r>
          </w:p>
        </w:tc>
        <w:tc>
          <w:tcPr>
            <w:tcW w:type="dxa" w:w="3293"/>
            <w:vAlign w:val="center"/>
          </w:tcPr>
          <w:p>
            <w:pPr>
              <w:spacing w:after="40"/>
            </w:pPr>
            <w:r>
              <w:rPr>
                <w:sz w:val="18"/>
              </w:rPr>
              <w:t>提取一个候选事项及可识别的时间、地点；不确定信息必须标记</w:t>
            </w:r>
          </w:p>
        </w:tc>
        <w:tc>
          <w:tcPr>
            <w:tcW w:type="dxa" w:w="3293"/>
            <w:vAlign w:val="center"/>
          </w:tcPr>
          <w:p>
            <w:pPr>
              <w:spacing w:after="40"/>
            </w:pPr>
            <w:r>
              <w:rPr>
                <w:sz w:val="18"/>
              </w:rPr>
              <w:t>缺少时间时不捏造；错误事项可编辑或放弃</w:t>
            </w:r>
          </w:p>
        </w:tc>
      </w:tr>
      <w:tr>
        <w:tc>
          <w:tcPr>
            <w:tcW w:type="dxa" w:w="3293"/>
            <w:vAlign w:val="center"/>
          </w:tcPr>
          <w:p>
            <w:pPr>
              <w:spacing w:after="40"/>
            </w:pPr>
            <w:r>
              <w:rPr>
                <w:sz w:val="18"/>
              </w:rPr>
              <w:t>M03</w:t>
            </w:r>
          </w:p>
        </w:tc>
        <w:tc>
          <w:tcPr>
            <w:tcW w:type="dxa" w:w="3293"/>
            <w:vAlign w:val="center"/>
          </w:tcPr>
          <w:p>
            <w:pPr>
              <w:spacing w:after="40"/>
            </w:pPr>
            <w:r>
              <w:rPr>
                <w:sz w:val="18"/>
              </w:rPr>
              <w:t>用户确认草稿；确认之前不产生正式事务与提醒</w:t>
            </w:r>
          </w:p>
        </w:tc>
        <w:tc>
          <w:tcPr>
            <w:tcW w:type="dxa" w:w="3293"/>
            <w:vAlign w:val="center"/>
          </w:tcPr>
          <w:p>
            <w:pPr>
              <w:spacing w:after="40"/>
            </w:pPr>
            <w:r>
              <w:rPr>
                <w:sz w:val="18"/>
              </w:rPr>
              <w:t>拒绝后没有正式事项；修改后以确认版本为准</w:t>
            </w:r>
          </w:p>
        </w:tc>
      </w:tr>
      <w:tr>
        <w:tc>
          <w:tcPr>
            <w:tcW w:type="dxa" w:w="3293"/>
            <w:vAlign w:val="center"/>
          </w:tcPr>
          <w:p>
            <w:pPr>
              <w:spacing w:after="40"/>
            </w:pPr>
            <w:r>
              <w:rPr>
                <w:sz w:val="18"/>
              </w:rPr>
              <w:t>M04</w:t>
            </w:r>
          </w:p>
        </w:tc>
        <w:tc>
          <w:tcPr>
            <w:tcW w:type="dxa" w:w="3293"/>
            <w:vAlign w:val="center"/>
          </w:tcPr>
          <w:p>
            <w:pPr>
              <w:spacing w:after="40"/>
            </w:pPr>
            <w:r>
              <w:rPr>
                <w:sz w:val="18"/>
              </w:rPr>
              <w:t>正式事项包含标题、可选截止时间、状态及提醒配置</w:t>
            </w:r>
          </w:p>
        </w:tc>
        <w:tc>
          <w:tcPr>
            <w:tcW w:type="dxa" w:w="3293"/>
            <w:vAlign w:val="center"/>
          </w:tcPr>
          <w:p>
            <w:pPr>
              <w:spacing w:after="40"/>
            </w:pPr>
            <w:r>
              <w:rPr>
                <w:sz w:val="18"/>
              </w:rPr>
              <w:t>本人可查看、修改；无明确时间时可设为无到期日</w:t>
            </w:r>
          </w:p>
        </w:tc>
      </w:tr>
      <w:tr>
        <w:tc>
          <w:tcPr>
            <w:tcW w:type="dxa" w:w="3293"/>
            <w:vAlign w:val="center"/>
          </w:tcPr>
          <w:p>
            <w:pPr>
              <w:spacing w:after="40"/>
            </w:pPr>
            <w:r>
              <w:rPr>
                <w:sz w:val="18"/>
              </w:rPr>
              <w:t>M05</w:t>
            </w:r>
          </w:p>
        </w:tc>
        <w:tc>
          <w:tcPr>
            <w:tcW w:type="dxa" w:w="3293"/>
            <w:vAlign w:val="center"/>
          </w:tcPr>
          <w:p>
            <w:pPr>
              <w:spacing w:after="40"/>
            </w:pPr>
            <w:r>
              <w:rPr>
                <w:sz w:val="18"/>
              </w:rPr>
              <w:t>按本人设置的时间提醒；允许关闭、稍后提醒</w:t>
            </w:r>
          </w:p>
        </w:tc>
        <w:tc>
          <w:tcPr>
            <w:tcW w:type="dxa" w:w="3293"/>
            <w:vAlign w:val="center"/>
          </w:tcPr>
          <w:p>
            <w:pPr>
              <w:spacing w:after="40"/>
            </w:pPr>
            <w:r>
              <w:rPr>
                <w:sz w:val="18"/>
              </w:rPr>
              <w:t>取消/完成后停止未来提醒；无许可不发送通知</w:t>
            </w:r>
          </w:p>
        </w:tc>
      </w:tr>
      <w:tr>
        <w:tc>
          <w:tcPr>
            <w:tcW w:type="dxa" w:w="3293"/>
            <w:vAlign w:val="center"/>
          </w:tcPr>
          <w:p>
            <w:pPr>
              <w:spacing w:after="40"/>
            </w:pPr>
            <w:r>
              <w:rPr>
                <w:sz w:val="18"/>
              </w:rPr>
              <w:t>M06</w:t>
            </w:r>
          </w:p>
        </w:tc>
        <w:tc>
          <w:tcPr>
            <w:tcW w:type="dxa" w:w="3293"/>
            <w:vAlign w:val="center"/>
          </w:tcPr>
          <w:p>
            <w:pPr>
              <w:spacing w:after="40"/>
            </w:pPr>
            <w:r>
              <w:rPr>
                <w:sz w:val="18"/>
              </w:rPr>
              <w:t>状态可从待办变成完成/取消，允许改期后继续跟进</w:t>
            </w:r>
          </w:p>
        </w:tc>
        <w:tc>
          <w:tcPr>
            <w:tcW w:type="dxa" w:w="3293"/>
            <w:vAlign w:val="center"/>
          </w:tcPr>
          <w:p>
            <w:pPr>
              <w:spacing w:after="40"/>
            </w:pPr>
            <w:r>
              <w:rPr>
                <w:sz w:val="18"/>
              </w:rPr>
              <w:t>重复操作不产生重复事项；历史信息正确更新</w:t>
            </w:r>
          </w:p>
        </w:tc>
      </w:tr>
      <w:tr>
        <w:tc>
          <w:tcPr>
            <w:tcW w:type="dxa" w:w="3293"/>
            <w:vAlign w:val="center"/>
          </w:tcPr>
          <w:p>
            <w:pPr>
              <w:spacing w:after="40"/>
            </w:pPr>
            <w:r>
              <w:rPr>
                <w:sz w:val="18"/>
              </w:rPr>
              <w:t>M07</w:t>
            </w:r>
          </w:p>
        </w:tc>
        <w:tc>
          <w:tcPr>
            <w:tcW w:type="dxa" w:w="3293"/>
            <w:vAlign w:val="center"/>
          </w:tcPr>
          <w:p>
            <w:pPr>
              <w:spacing w:after="40"/>
            </w:pPr>
            <w:r>
              <w:rPr>
                <w:sz w:val="18"/>
              </w:rPr>
              <w:t>可查阅、删除本人事项和输入内容；数据共享默认关闭</w:t>
            </w:r>
          </w:p>
        </w:tc>
        <w:tc>
          <w:tcPr>
            <w:tcW w:type="dxa" w:w="3293"/>
            <w:vAlign w:val="center"/>
          </w:tcPr>
          <w:p>
            <w:pPr>
              <w:spacing w:after="40"/>
            </w:pPr>
            <w:r>
              <w:rPr>
                <w:sz w:val="18"/>
              </w:rPr>
              <w:t>删除后不再显示、不再提醒；对保留政策给出明确说明</w:t>
            </w:r>
          </w:p>
        </w:tc>
      </w:tr>
      <w:tr>
        <w:tc>
          <w:tcPr>
            <w:tcW w:type="dxa" w:w="3293"/>
            <w:vAlign w:val="center"/>
          </w:tcPr>
          <w:p>
            <w:pPr>
              <w:spacing w:after="40"/>
            </w:pPr>
            <w:r>
              <w:rPr>
                <w:sz w:val="18"/>
              </w:rPr>
              <w:t>M08</w:t>
            </w:r>
          </w:p>
        </w:tc>
        <w:tc>
          <w:tcPr>
            <w:tcW w:type="dxa" w:w="3293"/>
            <w:vAlign w:val="center"/>
          </w:tcPr>
          <w:p>
            <w:pPr>
              <w:spacing w:after="40"/>
            </w:pPr>
            <w:r>
              <w:rPr>
                <w:sz w:val="18"/>
              </w:rPr>
              <w:t>失败和不确定信息有可恢复反馈</w:t>
            </w:r>
          </w:p>
        </w:tc>
        <w:tc>
          <w:tcPr>
            <w:tcW w:type="dxa" w:w="3293"/>
            <w:vAlign w:val="center"/>
          </w:tcPr>
          <w:p>
            <w:pPr>
              <w:spacing w:after="40"/>
            </w:pPr>
            <w:r>
              <w:rPr>
                <w:sz w:val="18"/>
              </w:rPr>
              <w:t>无法解析时给出手动创建路径；不声称操作成功却未保存</w:t>
            </w:r>
          </w:p>
        </w:tc>
      </w:tr>
    </w:tbl>
    <w:p>
      <w:pPr>
        <w:pStyle w:val="Heading1"/>
      </w:pPr>
      <w:r>
        <w:t>5. 核心业务规则与状态</w:t>
      </w:r>
    </w:p>
    <w:tbl>
      <w:tblPr>
        <w:tblStyle w:val="TableGrid"/>
        <w:tblW w:type="auto" w:w="0"/>
        <w:jc w:val="center"/>
        <w:tblLook w:firstColumn="1" w:firstRow="1" w:lastColumn="0" w:lastRow="0" w:noHBand="0" w:noVBand="1" w:val="04A0"/>
      </w:tblPr>
      <w:tblGrid>
        <w:gridCol w:w="4939"/>
        <w:gridCol w:w="4939"/>
      </w:tblGrid>
      <w:tr>
        <w:tc>
          <w:tcPr>
            <w:tcW w:type="dxa" w:w="4939"/>
            <w:shd w:fill="DCE9F4"/>
          </w:tcPr>
          <w:p>
            <w:pPr>
              <w:spacing w:after="40"/>
            </w:pPr>
            <w:r>
              <w:rPr>
                <w:sz w:val="18"/>
              </w:rPr>
              <w:t>对象</w:t>
            </w:r>
          </w:p>
        </w:tc>
        <w:tc>
          <w:tcPr>
            <w:tcW w:type="dxa" w:w="4939"/>
            <w:shd w:fill="DCE9F4"/>
          </w:tcPr>
          <w:p>
            <w:pPr>
              <w:spacing w:after="40"/>
            </w:pPr>
            <w:r>
              <w:rPr>
                <w:sz w:val="18"/>
              </w:rPr>
              <w:t>状态与允许动作</w:t>
            </w:r>
          </w:p>
        </w:tc>
      </w:tr>
      <w:tr>
        <w:tc>
          <w:tcPr>
            <w:tcW w:type="dxa" w:w="4939"/>
            <w:vAlign w:val="center"/>
          </w:tcPr>
          <w:p>
            <w:pPr>
              <w:spacing w:after="40"/>
            </w:pPr>
            <w:r>
              <w:rPr>
                <w:sz w:val="18"/>
              </w:rPr>
              <w:t>候选草稿</w:t>
            </w:r>
          </w:p>
        </w:tc>
        <w:tc>
          <w:tcPr>
            <w:tcW w:type="dxa" w:w="4939"/>
            <w:vAlign w:val="center"/>
          </w:tcPr>
          <w:p>
            <w:pPr>
              <w:spacing w:after="40"/>
            </w:pPr>
            <w:r>
              <w:rPr>
                <w:sz w:val="18"/>
              </w:rPr>
              <w:t>待确认→已确认/已放弃；待确认草稿不能产生正式提醒</w:t>
            </w:r>
          </w:p>
        </w:tc>
      </w:tr>
      <w:tr>
        <w:tc>
          <w:tcPr>
            <w:tcW w:type="dxa" w:w="4939"/>
            <w:vAlign w:val="center"/>
          </w:tcPr>
          <w:p>
            <w:pPr>
              <w:spacing w:after="40"/>
            </w:pPr>
            <w:r>
              <w:rPr>
                <w:sz w:val="18"/>
              </w:rPr>
              <w:t>正式事项</w:t>
            </w:r>
          </w:p>
        </w:tc>
        <w:tc>
          <w:tcPr>
            <w:tcW w:type="dxa" w:w="4939"/>
            <w:vAlign w:val="center"/>
          </w:tcPr>
          <w:p>
            <w:pPr>
              <w:spacing w:after="40"/>
            </w:pPr>
            <w:r>
              <w:rPr>
                <w:sz w:val="18"/>
              </w:rPr>
              <w:t>待处理→已完成/已取消；待处理允许修改内容、截止时间和提醒设置</w:t>
            </w:r>
          </w:p>
        </w:tc>
      </w:tr>
      <w:tr>
        <w:tc>
          <w:tcPr>
            <w:tcW w:type="dxa" w:w="4939"/>
            <w:vAlign w:val="center"/>
          </w:tcPr>
          <w:p>
            <w:pPr>
              <w:spacing w:after="40"/>
            </w:pPr>
            <w:r>
              <w:rPr>
                <w:sz w:val="18"/>
              </w:rPr>
              <w:t>超期事项</w:t>
            </w:r>
          </w:p>
        </w:tc>
        <w:tc>
          <w:tcPr>
            <w:tcW w:type="dxa" w:w="4939"/>
            <w:vAlign w:val="center"/>
          </w:tcPr>
          <w:p>
            <w:pPr>
              <w:spacing w:after="40"/>
            </w:pPr>
            <w:r>
              <w:rPr>
                <w:sz w:val="18"/>
              </w:rPr>
              <w:t>“已逾期”为按截止时间计算的展示属性，不强行成为与完成/取消冲突的主状态</w:t>
            </w:r>
          </w:p>
        </w:tc>
      </w:tr>
      <w:tr>
        <w:tc>
          <w:tcPr>
            <w:tcW w:type="dxa" w:w="4939"/>
            <w:vAlign w:val="center"/>
          </w:tcPr>
          <w:p>
            <w:pPr>
              <w:spacing w:after="40"/>
            </w:pPr>
            <w:r>
              <w:rPr>
                <w:sz w:val="18"/>
              </w:rPr>
              <w:t>提醒</w:t>
            </w:r>
          </w:p>
        </w:tc>
        <w:tc>
          <w:tcPr>
            <w:tcW w:type="dxa" w:w="4939"/>
            <w:vAlign w:val="center"/>
          </w:tcPr>
          <w:p>
            <w:pPr>
              <w:spacing w:after="40"/>
            </w:pPr>
            <w:r>
              <w:rPr>
                <w:sz w:val="18"/>
              </w:rPr>
              <w:t>未到期/待发送/已发送/已关闭；关闭、完成、取消后不继续推送</w:t>
            </w:r>
          </w:p>
        </w:tc>
      </w:tr>
      <w:tr>
        <w:tc>
          <w:tcPr>
            <w:tcW w:type="dxa" w:w="4939"/>
            <w:vAlign w:val="center"/>
          </w:tcPr>
          <w:p>
            <w:pPr>
              <w:spacing w:after="40"/>
            </w:pPr>
            <w:r>
              <w:rPr>
                <w:sz w:val="18"/>
              </w:rPr>
              <w:t>所有权</w:t>
            </w:r>
          </w:p>
        </w:tc>
        <w:tc>
          <w:tcPr>
            <w:tcW w:type="dxa" w:w="4939"/>
            <w:vAlign w:val="center"/>
          </w:tcPr>
          <w:p>
            <w:pPr>
              <w:spacing w:after="40"/>
            </w:pPr>
            <w:r>
              <w:rPr>
                <w:sz w:val="18"/>
              </w:rPr>
              <w:t>创建者为唯一可见与可编辑的成年人；首期无家庭共享权限</w:t>
            </w:r>
          </w:p>
        </w:tc>
      </w:tr>
    </w:tbl>
    <w:p>
      <w:pPr>
        <w:pStyle w:val="Heading1"/>
      </w:pPr>
      <w:r>
        <w:t>6. 异常与边缘场景</w:t>
      </w:r>
    </w:p>
    <w:tbl>
      <w:tblPr>
        <w:tblStyle w:val="TableGrid"/>
        <w:tblW w:type="auto" w:w="0"/>
        <w:jc w:val="center"/>
        <w:tblLook w:firstColumn="1" w:firstRow="1" w:lastColumn="0" w:lastRow="0" w:noHBand="0" w:noVBand="1" w:val="04A0"/>
      </w:tblPr>
      <w:tblGrid>
        <w:gridCol w:w="4939"/>
        <w:gridCol w:w="4939"/>
      </w:tblGrid>
      <w:tr>
        <w:tc>
          <w:tcPr>
            <w:tcW w:type="dxa" w:w="4939"/>
            <w:shd w:fill="DCE9F4"/>
          </w:tcPr>
          <w:p>
            <w:pPr>
              <w:spacing w:after="40"/>
            </w:pPr>
            <w:r>
              <w:rPr>
                <w:sz w:val="18"/>
              </w:rPr>
              <w:t>情形</w:t>
            </w:r>
          </w:p>
        </w:tc>
        <w:tc>
          <w:tcPr>
            <w:tcW w:type="dxa" w:w="4939"/>
            <w:shd w:fill="DCE9F4"/>
          </w:tcPr>
          <w:p>
            <w:pPr>
              <w:spacing w:after="40"/>
            </w:pPr>
            <w:r>
              <w:rPr>
                <w:sz w:val="18"/>
              </w:rPr>
              <w:t>预期行为</w:t>
            </w:r>
          </w:p>
        </w:tc>
      </w:tr>
      <w:tr>
        <w:tc>
          <w:tcPr>
            <w:tcW w:type="dxa" w:w="4939"/>
            <w:vAlign w:val="center"/>
          </w:tcPr>
          <w:p>
            <w:pPr>
              <w:spacing w:after="40"/>
            </w:pPr>
            <w:r>
              <w:rPr>
                <w:sz w:val="18"/>
              </w:rPr>
              <w:t>“下周五”等相对时间</w:t>
            </w:r>
          </w:p>
        </w:tc>
        <w:tc>
          <w:tcPr>
            <w:tcW w:type="dxa" w:w="4939"/>
            <w:vAlign w:val="center"/>
          </w:tcPr>
          <w:p>
            <w:pPr>
              <w:spacing w:after="40"/>
            </w:pPr>
            <w:r>
              <w:rPr>
                <w:sz w:val="18"/>
              </w:rPr>
              <w:t>结合用户时区展示解析出的绝对日期和时间，要求确认；歧义则询问</w:t>
            </w:r>
          </w:p>
        </w:tc>
      </w:tr>
      <w:tr>
        <w:tc>
          <w:tcPr>
            <w:tcW w:type="dxa" w:w="4939"/>
            <w:vAlign w:val="center"/>
          </w:tcPr>
          <w:p>
            <w:pPr>
              <w:spacing w:after="40"/>
            </w:pPr>
            <w:r>
              <w:rPr>
                <w:sz w:val="18"/>
              </w:rPr>
              <w:t>材料缺少时间或地点</w:t>
            </w:r>
          </w:p>
        </w:tc>
        <w:tc>
          <w:tcPr>
            <w:tcW w:type="dxa" w:w="4939"/>
            <w:vAlign w:val="center"/>
          </w:tcPr>
          <w:p>
            <w:pPr>
              <w:spacing w:after="40"/>
            </w:pPr>
            <w:r>
              <w:rPr>
                <w:sz w:val="18"/>
              </w:rPr>
              <w:t>不猜测；支持无到期日事项或让用户补充</w:t>
            </w:r>
          </w:p>
        </w:tc>
      </w:tr>
      <w:tr>
        <w:tc>
          <w:tcPr>
            <w:tcW w:type="dxa" w:w="4939"/>
            <w:vAlign w:val="center"/>
          </w:tcPr>
          <w:p>
            <w:pPr>
              <w:spacing w:after="40"/>
            </w:pPr>
            <w:r>
              <w:rPr>
                <w:sz w:val="18"/>
              </w:rPr>
              <w:t>输入含多个任务</w:t>
            </w:r>
          </w:p>
        </w:tc>
        <w:tc>
          <w:tcPr>
            <w:tcW w:type="dxa" w:w="4939"/>
            <w:vAlign w:val="center"/>
          </w:tcPr>
          <w:p>
            <w:pPr>
              <w:spacing w:after="40"/>
            </w:pPr>
            <w:r>
              <w:rPr>
                <w:sz w:val="18"/>
              </w:rPr>
              <w:t>V1 告知仅处理一件或让用户选择；不悄悄丢弃其余部分</w:t>
            </w:r>
          </w:p>
        </w:tc>
      </w:tr>
      <w:tr>
        <w:tc>
          <w:tcPr>
            <w:tcW w:type="dxa" w:w="4939"/>
            <w:vAlign w:val="center"/>
          </w:tcPr>
          <w:p>
            <w:pPr>
              <w:spacing w:after="40"/>
            </w:pPr>
            <w:r>
              <w:rPr>
                <w:sz w:val="18"/>
              </w:rPr>
              <w:t>重复粘贴同一通知</w:t>
            </w:r>
          </w:p>
        </w:tc>
        <w:tc>
          <w:tcPr>
            <w:tcW w:type="dxa" w:w="4939"/>
            <w:vAlign w:val="center"/>
          </w:tcPr>
          <w:p>
            <w:pPr>
              <w:spacing w:after="40"/>
            </w:pPr>
            <w:r>
              <w:rPr>
                <w:sz w:val="18"/>
              </w:rPr>
              <w:t>提示可能重复，最终交由本人决定；禁止意外生成多条提醒</w:t>
            </w:r>
          </w:p>
        </w:tc>
      </w:tr>
      <w:tr>
        <w:tc>
          <w:tcPr>
            <w:tcW w:type="dxa" w:w="4939"/>
            <w:vAlign w:val="center"/>
          </w:tcPr>
          <w:p>
            <w:pPr>
              <w:spacing w:after="40"/>
            </w:pPr>
            <w:r>
              <w:rPr>
                <w:sz w:val="18"/>
              </w:rPr>
              <w:t>已完成后通知重发</w:t>
            </w:r>
          </w:p>
        </w:tc>
        <w:tc>
          <w:tcPr>
            <w:tcW w:type="dxa" w:w="4939"/>
            <w:vAlign w:val="center"/>
          </w:tcPr>
          <w:p>
            <w:pPr>
              <w:spacing w:after="40"/>
            </w:pPr>
            <w:r>
              <w:rPr>
                <w:sz w:val="18"/>
              </w:rPr>
              <w:t>不重新打开事项；只有本人主动改回待处理才继续跟进</w:t>
            </w:r>
          </w:p>
        </w:tc>
      </w:tr>
      <w:tr>
        <w:tc>
          <w:tcPr>
            <w:tcW w:type="dxa" w:w="4939"/>
            <w:vAlign w:val="center"/>
          </w:tcPr>
          <w:p>
            <w:pPr>
              <w:spacing w:after="40"/>
            </w:pPr>
            <w:r>
              <w:rPr>
                <w:sz w:val="18"/>
              </w:rPr>
              <w:t>提醒发送失败/通知被关</w:t>
            </w:r>
          </w:p>
        </w:tc>
        <w:tc>
          <w:tcPr>
            <w:tcW w:type="dxa" w:w="4939"/>
            <w:vAlign w:val="center"/>
          </w:tcPr>
          <w:p>
            <w:pPr>
              <w:spacing w:after="40"/>
            </w:pPr>
            <w:r>
              <w:rPr>
                <w:sz w:val="18"/>
              </w:rPr>
              <w:t>展示提醒状态与权限引导，不虚构送达</w:t>
            </w:r>
          </w:p>
        </w:tc>
      </w:tr>
      <w:tr>
        <w:tc>
          <w:tcPr>
            <w:tcW w:type="dxa" w:w="4939"/>
            <w:vAlign w:val="center"/>
          </w:tcPr>
          <w:p>
            <w:pPr>
              <w:spacing w:after="40"/>
            </w:pPr>
            <w:r>
              <w:rPr>
                <w:sz w:val="18"/>
              </w:rPr>
              <w:t>改期发生于提醒发送前</w:t>
            </w:r>
          </w:p>
        </w:tc>
        <w:tc>
          <w:tcPr>
            <w:tcW w:type="dxa" w:w="4939"/>
            <w:vAlign w:val="center"/>
          </w:tcPr>
          <w:p>
            <w:pPr>
              <w:spacing w:after="40"/>
            </w:pPr>
            <w:r>
              <w:rPr>
                <w:sz w:val="18"/>
              </w:rPr>
              <w:t>使用新时间；旧计划不得重复通知</w:t>
            </w:r>
          </w:p>
        </w:tc>
      </w:tr>
      <w:tr>
        <w:tc>
          <w:tcPr>
            <w:tcW w:type="dxa" w:w="4939"/>
            <w:vAlign w:val="center"/>
          </w:tcPr>
          <w:p>
            <w:pPr>
              <w:spacing w:after="40"/>
            </w:pPr>
            <w:r>
              <w:rPr>
                <w:sz w:val="18"/>
              </w:rPr>
              <w:t>输入包含家人或孩子隐私</w:t>
            </w:r>
          </w:p>
        </w:tc>
        <w:tc>
          <w:tcPr>
            <w:tcW w:type="dxa" w:w="4939"/>
            <w:vAlign w:val="center"/>
          </w:tcPr>
          <w:p>
            <w:pPr>
              <w:spacing w:after="40"/>
            </w:pPr>
            <w:r>
              <w:rPr>
                <w:sz w:val="18"/>
              </w:rPr>
              <w:t>不默认共享；提示避免录入不必要敏感信息</w:t>
            </w:r>
          </w:p>
        </w:tc>
      </w:tr>
      <w:tr>
        <w:tc>
          <w:tcPr>
            <w:tcW w:type="dxa" w:w="4939"/>
            <w:vAlign w:val="center"/>
          </w:tcPr>
          <w:p>
            <w:pPr>
              <w:spacing w:after="40"/>
            </w:pPr>
            <w:r>
              <w:rPr>
                <w:sz w:val="18"/>
              </w:rPr>
              <w:t>服务无法提取事项</w:t>
            </w:r>
          </w:p>
        </w:tc>
        <w:tc>
          <w:tcPr>
            <w:tcW w:type="dxa" w:w="4939"/>
            <w:vAlign w:val="center"/>
          </w:tcPr>
          <w:p>
            <w:pPr>
              <w:spacing w:after="40"/>
            </w:pPr>
            <w:r>
              <w:rPr>
                <w:sz w:val="18"/>
              </w:rPr>
              <w:t>提供手动创建；不得凭空编造截止日期</w:t>
            </w:r>
          </w:p>
        </w:tc>
      </w:tr>
    </w:tbl>
    <w:p>
      <w:pPr>
        <w:pStyle w:val="Heading1"/>
      </w:pPr>
      <w:r>
        <w:t>7. 产品体验原则（非 UI 设计）</w:t>
      </w:r>
    </w:p>
    <w:p>
      <w:pPr>
        <w:pStyle w:val="ListBullet"/>
      </w:pPr>
      <w:r>
        <w:t>用户操作成本必须低：信息一次提交，尽量不要求填写冗长表单。</w:t>
      </w:r>
    </w:p>
    <w:p>
      <w:pPr>
        <w:pStyle w:val="ListBullet"/>
      </w:pPr>
      <w:r>
        <w:t>AI 输出必须可核对：明确区分原文、AI 推断和用户确认内容。</w:t>
      </w:r>
    </w:p>
    <w:p>
      <w:pPr>
        <w:pStyle w:val="ListBullet"/>
      </w:pPr>
      <w:r>
        <w:t>可控：任何会改变事项、发送提醒或外部联系的动作须符合事先确认；首期无外部联系。</w:t>
      </w:r>
    </w:p>
    <w:p>
      <w:pPr>
        <w:pStyle w:val="ListBullet"/>
      </w:pPr>
      <w:r>
        <w:t>不打扰：允许关停提醒，不将用户未响应自动推断为失败或同意。</w:t>
      </w:r>
    </w:p>
    <w:p>
      <w:pPr>
        <w:pStyle w:val="Heading1"/>
      </w:pPr>
      <w:r>
        <w:t>8. 指标与实验方案</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CE9F4"/>
          </w:tcPr>
          <w:p>
            <w:pPr>
              <w:spacing w:after="40"/>
            </w:pPr>
            <w:r>
              <w:rPr>
                <w:sz w:val="18"/>
              </w:rPr>
              <w:t>指标</w:t>
            </w:r>
          </w:p>
        </w:tc>
        <w:tc>
          <w:tcPr>
            <w:tcW w:type="dxa" w:w="3293"/>
            <w:shd w:fill="DCE9F4"/>
          </w:tcPr>
          <w:p>
            <w:pPr>
              <w:spacing w:after="40"/>
            </w:pPr>
            <w:r>
              <w:rPr>
                <w:sz w:val="18"/>
              </w:rPr>
              <w:t>计算/采集方法</w:t>
            </w:r>
          </w:p>
        </w:tc>
        <w:tc>
          <w:tcPr>
            <w:tcW w:type="dxa" w:w="3293"/>
            <w:shd w:fill="DCE9F4"/>
          </w:tcPr>
          <w:p>
            <w:pPr>
              <w:spacing w:after="40"/>
            </w:pPr>
            <w:r>
              <w:rPr>
                <w:sz w:val="18"/>
              </w:rPr>
              <w:t>暂定验证门槛（非事实）</w:t>
            </w:r>
          </w:p>
        </w:tc>
      </w:tr>
      <w:tr>
        <w:tc>
          <w:tcPr>
            <w:tcW w:type="dxa" w:w="3293"/>
            <w:vAlign w:val="center"/>
          </w:tcPr>
          <w:p>
            <w:pPr>
              <w:spacing w:after="40"/>
            </w:pPr>
            <w:r>
              <w:rPr>
                <w:sz w:val="18"/>
              </w:rPr>
              <w:t>端到端有效完成率</w:t>
            </w:r>
          </w:p>
        </w:tc>
        <w:tc>
          <w:tcPr>
            <w:tcW w:type="dxa" w:w="3293"/>
            <w:vAlign w:val="center"/>
          </w:tcPr>
          <w:p>
            <w:pPr>
              <w:spacing w:after="40"/>
            </w:pPr>
            <w:r>
              <w:rPr>
                <w:sz w:val="18"/>
              </w:rPr>
              <w:t>成功确认并标记完成的有效任务数 / 进入实验的任务数；另记录原有工具基线</w:t>
            </w:r>
          </w:p>
        </w:tc>
        <w:tc>
          <w:tcPr>
            <w:tcW w:type="dxa" w:w="3293"/>
            <w:vAlign w:val="center"/>
          </w:tcPr>
          <w:p>
            <w:pPr>
              <w:spacing w:after="40"/>
            </w:pPr>
            <w:r>
              <w:rPr>
                <w:sz w:val="18"/>
              </w:rPr>
              <w:t>不低于用户原有方式；不得以创建率代替完成率</w:t>
            </w:r>
          </w:p>
        </w:tc>
      </w:tr>
      <w:tr>
        <w:tc>
          <w:tcPr>
            <w:tcW w:type="dxa" w:w="3293"/>
            <w:vAlign w:val="center"/>
          </w:tcPr>
          <w:p>
            <w:pPr>
              <w:spacing w:after="40"/>
            </w:pPr>
            <w:r>
              <w:rPr>
                <w:sz w:val="18"/>
              </w:rPr>
              <w:t>整理耗时</w:t>
            </w:r>
          </w:p>
        </w:tc>
        <w:tc>
          <w:tcPr>
            <w:tcW w:type="dxa" w:w="3293"/>
            <w:vAlign w:val="center"/>
          </w:tcPr>
          <w:p>
            <w:pPr>
              <w:spacing w:after="40"/>
            </w:pPr>
            <w:r>
              <w:rPr>
                <w:sz w:val="18"/>
              </w:rPr>
              <w:t>从看到同样的信息到形成可用事项所需时间；观察 AI 校对时间</w:t>
            </w:r>
          </w:p>
        </w:tc>
        <w:tc>
          <w:tcPr>
            <w:tcW w:type="dxa" w:w="3293"/>
            <w:vAlign w:val="center"/>
          </w:tcPr>
          <w:p>
            <w:pPr>
              <w:spacing w:after="40"/>
            </w:pPr>
            <w:r>
              <w:rPr>
                <w:sz w:val="18"/>
              </w:rPr>
              <w:t>中位数较基线降低≥20%（仅作试验假设）</w:t>
            </w:r>
          </w:p>
        </w:tc>
      </w:tr>
      <w:tr>
        <w:tc>
          <w:tcPr>
            <w:tcW w:type="dxa" w:w="3293"/>
            <w:vAlign w:val="center"/>
          </w:tcPr>
          <w:p>
            <w:pPr>
              <w:spacing w:after="40"/>
            </w:pPr>
            <w:r>
              <w:rPr>
                <w:sz w:val="18"/>
              </w:rPr>
              <w:t>人为操作量</w:t>
            </w:r>
          </w:p>
        </w:tc>
        <w:tc>
          <w:tcPr>
            <w:tcW w:type="dxa" w:w="3293"/>
            <w:vAlign w:val="center"/>
          </w:tcPr>
          <w:p>
            <w:pPr>
              <w:spacing w:after="40"/>
            </w:pPr>
            <w:r>
              <w:rPr>
                <w:sz w:val="18"/>
              </w:rPr>
              <w:t>手动录入、跨应用切换、主动追问/确认次数</w:t>
            </w:r>
          </w:p>
        </w:tc>
        <w:tc>
          <w:tcPr>
            <w:tcW w:type="dxa" w:w="3293"/>
            <w:vAlign w:val="center"/>
          </w:tcPr>
          <w:p>
            <w:pPr>
              <w:spacing w:after="40"/>
            </w:pPr>
            <w:r>
              <w:rPr>
                <w:sz w:val="18"/>
              </w:rPr>
              <w:t>中位数较基线减少；无明确方向则重新审视场景</w:t>
            </w:r>
          </w:p>
        </w:tc>
      </w:tr>
      <w:tr>
        <w:tc>
          <w:tcPr>
            <w:tcW w:type="dxa" w:w="3293"/>
            <w:vAlign w:val="center"/>
          </w:tcPr>
          <w:p>
            <w:pPr>
              <w:spacing w:after="40"/>
            </w:pPr>
            <w:r>
              <w:rPr>
                <w:sz w:val="18"/>
              </w:rPr>
              <w:t>误读率</w:t>
            </w:r>
          </w:p>
        </w:tc>
        <w:tc>
          <w:tcPr>
            <w:tcW w:type="dxa" w:w="3293"/>
            <w:vAlign w:val="center"/>
          </w:tcPr>
          <w:p>
            <w:pPr>
              <w:spacing w:after="40"/>
            </w:pPr>
            <w:r>
              <w:rPr>
                <w:sz w:val="18"/>
              </w:rPr>
              <w:t>抽样核对时间、地点、事项主体等关键字段的错误率</w:t>
            </w:r>
          </w:p>
        </w:tc>
        <w:tc>
          <w:tcPr>
            <w:tcW w:type="dxa" w:w="3293"/>
            <w:vAlign w:val="center"/>
          </w:tcPr>
          <w:p>
            <w:pPr>
              <w:spacing w:after="40"/>
            </w:pPr>
            <w:r>
              <w:rPr>
                <w:sz w:val="18"/>
              </w:rPr>
              <w:t>不得发生未经确认的关键字段自动执行；持续记录错误类型</w:t>
            </w:r>
          </w:p>
        </w:tc>
      </w:tr>
      <w:tr>
        <w:tc>
          <w:tcPr>
            <w:tcW w:type="dxa" w:w="3293"/>
            <w:vAlign w:val="center"/>
          </w:tcPr>
          <w:p>
            <w:pPr>
              <w:spacing w:after="40"/>
            </w:pPr>
            <w:r>
              <w:rPr>
                <w:sz w:val="18"/>
              </w:rPr>
              <w:t>主观负担</w:t>
            </w:r>
          </w:p>
        </w:tc>
        <w:tc>
          <w:tcPr>
            <w:tcW w:type="dxa" w:w="3293"/>
            <w:vAlign w:val="center"/>
          </w:tcPr>
          <w:p>
            <w:pPr>
              <w:spacing w:after="40"/>
            </w:pPr>
            <w:r>
              <w:rPr>
                <w:sz w:val="18"/>
              </w:rPr>
              <w:t>任务前后 1–5 分量表及开放式访谈</w:t>
            </w:r>
          </w:p>
        </w:tc>
        <w:tc>
          <w:tcPr>
            <w:tcW w:type="dxa" w:w="3293"/>
            <w:vAlign w:val="center"/>
          </w:tcPr>
          <w:p>
            <w:pPr>
              <w:spacing w:after="40"/>
            </w:pPr>
            <w:r>
              <w:rPr>
                <w:sz w:val="18"/>
              </w:rPr>
              <w:t>多数参与者报告有实际减负，且能举例说明</w:t>
            </w:r>
          </w:p>
        </w:tc>
      </w:tr>
      <w:tr>
        <w:tc>
          <w:tcPr>
            <w:tcW w:type="dxa" w:w="3293"/>
            <w:vAlign w:val="center"/>
          </w:tcPr>
          <w:p>
            <w:pPr>
              <w:spacing w:after="40"/>
            </w:pPr>
            <w:r>
              <w:rPr>
                <w:sz w:val="18"/>
              </w:rPr>
              <w:t>负面影响</w:t>
            </w:r>
          </w:p>
        </w:tc>
        <w:tc>
          <w:tcPr>
            <w:tcW w:type="dxa" w:w="3293"/>
            <w:vAlign w:val="center"/>
          </w:tcPr>
          <w:p>
            <w:pPr>
              <w:spacing w:after="40"/>
            </w:pPr>
            <w:r>
              <w:rPr>
                <w:sz w:val="18"/>
              </w:rPr>
              <w:t>额外打扰、遗漏、无授权共享、误提醒、重复任务</w:t>
            </w:r>
          </w:p>
        </w:tc>
        <w:tc>
          <w:tcPr>
            <w:tcW w:type="dxa" w:w="3293"/>
            <w:vAlign w:val="center"/>
          </w:tcPr>
          <w:p>
            <w:pPr>
              <w:spacing w:after="40"/>
            </w:pPr>
            <w:r>
              <w:rPr>
                <w:sz w:val="18"/>
              </w:rPr>
              <w:t>任何严重隐私或不当自动操作为暂停验证条件</w:t>
            </w:r>
          </w:p>
        </w:tc>
      </w:tr>
      <w:tr>
        <w:tc>
          <w:tcPr>
            <w:tcW w:type="dxa" w:w="3293"/>
            <w:vAlign w:val="center"/>
          </w:tcPr>
          <w:p>
            <w:pPr>
              <w:spacing w:after="40"/>
            </w:pPr>
            <w:r>
              <w:rPr>
                <w:sz w:val="18"/>
              </w:rPr>
              <w:t>持续价值</w:t>
            </w:r>
          </w:p>
        </w:tc>
        <w:tc>
          <w:tcPr>
            <w:tcW w:type="dxa" w:w="3293"/>
            <w:vAlign w:val="center"/>
          </w:tcPr>
          <w:p>
            <w:pPr>
              <w:spacing w:after="40"/>
            </w:pPr>
            <w:r>
              <w:rPr>
                <w:sz w:val="18"/>
              </w:rPr>
              <w:t>观察用户是否在新发生的真实事项中自发再次使用</w:t>
            </w:r>
          </w:p>
        </w:tc>
        <w:tc>
          <w:tcPr>
            <w:tcW w:type="dxa" w:w="3293"/>
            <w:vAlign w:val="center"/>
          </w:tcPr>
          <w:p>
            <w:pPr>
              <w:spacing w:after="40"/>
            </w:pPr>
            <w:r>
              <w:rPr>
                <w:sz w:val="18"/>
              </w:rPr>
              <w:t>有明确的自发复用证据，再讨论扩大试验</w:t>
            </w:r>
          </w:p>
        </w:tc>
      </w:tr>
    </w:tbl>
    <w:p>
      <w:r>
        <w:t>实验建议：先开展 6–8 户家庭的访谈/一周事务日志；随后对愿意参与的成年人进行 10–20 人小范围任务验证，比较同类事项原有方法与 MVP 的总完成成本。样本量和 20% 阈值为内部计划，不作统计显著性声明。</w:t>
      </w:r>
    </w:p>
    <w:p>
      <w:pPr>
        <w:pStyle w:val="Heading1"/>
      </w:pPr>
      <w:r>
        <w:t>9. 验收用例（Given / When / Then）</w:t>
      </w:r>
    </w:p>
    <w:p>
      <w:r>
        <w:t>AC-01 正常创建：给定用户提供含明确时间的通知；当 AI 生成草稿且用户确认；则仅创建一条本人可见的待处理事项，提醒以确认时间为准。</w:t>
      </w:r>
    </w:p>
    <w:p>
      <w:r>
        <w:t>AC-02 缺少截止时间：给定输入没有任何日期；当生成草稿；则不能编造日期，用户可补充或选择无到期日。</w:t>
      </w:r>
    </w:p>
    <w:p>
      <w:r>
        <w:t>AC-03 拒绝草稿：给定生成了候选事项；当用户放弃；则不创建正式事项，也不发送提醒。</w:t>
      </w:r>
    </w:p>
    <w:p>
      <w:r>
        <w:t>AC-04 修改与取消：给定事项已确认；当用户改期或取消；则旧提醒失效，取消事项不再产生新提醒。</w:t>
      </w:r>
    </w:p>
    <w:p>
      <w:r>
        <w:t>AC-05 重复事项：给定用户重复输入相同内容；当系统判定可能重复；则提示本人确认，不在未确认时产生多条提醒。</w:t>
      </w:r>
    </w:p>
    <w:p>
      <w:r>
        <w:t>AC-06 权限：给定用户未授权共享；当其他家庭成员希望查看；则不得显示该用户事项。</w:t>
      </w:r>
    </w:p>
    <w:p>
      <w:r>
        <w:t>AC-07 无法识别：给定输入为无法解析的内容；当提取失败；则如实说明并提供手动创建途径。</w:t>
      </w:r>
    </w:p>
    <w:p>
      <w:r>
        <w:t>AC-08 删除：给定已有私人事项；当用户删除并确认；则不再出现在待办与提醒中。</w:t>
      </w:r>
    </w:p>
    <w:p>
      <w:pPr>
        <w:pStyle w:val="Heading1"/>
      </w:pPr>
      <w:r>
        <w:t>10. 上线/继续投资决策门槛</w:t>
      </w:r>
    </w:p>
    <w:p>
      <w:r>
        <w:t>必须同时满足：① 目标家庭真实事务证据支持该问题存在；② 基线对照显示端到端负担下降且完成质量不降低；③ 用户可主动复用；④ 不存在严重隐私和不当自动执行问题。</w:t>
      </w:r>
    </w:p>
    <w:p>
      <w:r>
        <w:t>若访谈显示问题低频或原有工具足够好：停止该方向 MVP，回到候选 SC-02/SC-03 进行重新验证；若识别正确但校对太费时：优先简化确认而非扩大输入渠道；若单人有效但家庭协作需求缺证：不提前开发跨代理人能力。</w:t>
      </w:r>
    </w:p>
    <w:p>
      <w:pPr>
        <w:pStyle w:val="Heading1"/>
      </w:pPr>
      <w:r>
        <w:t>11. 版本交付与依赖</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CE9F4"/>
          </w:tcPr>
          <w:p>
            <w:pPr>
              <w:spacing w:after="40"/>
            </w:pPr>
            <w:r>
              <w:rPr>
                <w:sz w:val="18"/>
              </w:rPr>
              <w:t>里程碑</w:t>
            </w:r>
          </w:p>
        </w:tc>
        <w:tc>
          <w:tcPr>
            <w:tcW w:type="dxa" w:w="3293"/>
            <w:shd w:fill="DCE9F4"/>
          </w:tcPr>
          <w:p>
            <w:pPr>
              <w:spacing w:after="40"/>
            </w:pPr>
            <w:r>
              <w:rPr>
                <w:sz w:val="18"/>
              </w:rPr>
              <w:t>明确产物</w:t>
            </w:r>
          </w:p>
        </w:tc>
        <w:tc>
          <w:tcPr>
            <w:tcW w:type="dxa" w:w="3293"/>
            <w:shd w:fill="DCE9F4"/>
          </w:tcPr>
          <w:p>
            <w:pPr>
              <w:spacing w:after="40"/>
            </w:pPr>
            <w:r>
              <w:rPr>
                <w:sz w:val="18"/>
              </w:rPr>
              <w:t>进入下一阶段的条件</w:t>
            </w:r>
          </w:p>
        </w:tc>
      </w:tr>
      <w:tr>
        <w:tc>
          <w:tcPr>
            <w:tcW w:type="dxa" w:w="3293"/>
            <w:vAlign w:val="center"/>
          </w:tcPr>
          <w:p>
            <w:pPr>
              <w:spacing w:after="40"/>
            </w:pPr>
            <w:r>
              <w:rPr>
                <w:sz w:val="18"/>
              </w:rPr>
              <w:t>G0 证据核验</w:t>
            </w:r>
          </w:p>
        </w:tc>
        <w:tc>
          <w:tcPr>
            <w:tcW w:type="dxa" w:w="3293"/>
            <w:vAlign w:val="center"/>
          </w:tcPr>
          <w:p>
            <w:pPr>
              <w:spacing w:after="40"/>
            </w:pPr>
            <w:r>
              <w:rPr>
                <w:sz w:val="18"/>
              </w:rPr>
              <w:t>访谈记录、7天事件日志、基线与替代方案</w:t>
            </w:r>
          </w:p>
        </w:tc>
        <w:tc>
          <w:tcPr>
            <w:tcW w:type="dxa" w:w="3293"/>
            <w:vAlign w:val="center"/>
          </w:tcPr>
          <w:p>
            <w:pPr>
              <w:spacing w:after="40"/>
            </w:pPr>
            <w:r>
              <w:rPr>
                <w:sz w:val="18"/>
              </w:rPr>
              <w:t>证明真实场景与目标用户存在，不以访谈赞同代替</w:t>
            </w:r>
          </w:p>
        </w:tc>
      </w:tr>
      <w:tr>
        <w:tc>
          <w:tcPr>
            <w:tcW w:type="dxa" w:w="3293"/>
            <w:vAlign w:val="center"/>
          </w:tcPr>
          <w:p>
            <w:pPr>
              <w:spacing w:after="40"/>
            </w:pPr>
            <w:r>
              <w:rPr>
                <w:sz w:val="18"/>
              </w:rPr>
              <w:t>G1 可用闭环</w:t>
            </w:r>
          </w:p>
        </w:tc>
        <w:tc>
          <w:tcPr>
            <w:tcW w:type="dxa" w:w="3293"/>
            <w:vAlign w:val="center"/>
          </w:tcPr>
          <w:p>
            <w:pPr>
              <w:spacing w:after="40"/>
            </w:pPr>
            <w:r>
              <w:rPr>
                <w:sz w:val="18"/>
              </w:rPr>
              <w:t>M01–M08 与 AC-01–08 全部可测</w:t>
            </w:r>
          </w:p>
        </w:tc>
        <w:tc>
          <w:tcPr>
            <w:tcW w:type="dxa" w:w="3293"/>
            <w:vAlign w:val="center"/>
          </w:tcPr>
          <w:p>
            <w:pPr>
              <w:spacing w:after="40"/>
            </w:pPr>
            <w:r>
              <w:rPr>
                <w:sz w:val="18"/>
              </w:rPr>
              <w:t>功能规则、隐私和异常用例通过</w:t>
            </w:r>
          </w:p>
        </w:tc>
      </w:tr>
      <w:tr>
        <w:tc>
          <w:tcPr>
            <w:tcW w:type="dxa" w:w="3293"/>
            <w:vAlign w:val="center"/>
          </w:tcPr>
          <w:p>
            <w:pPr>
              <w:spacing w:after="40"/>
            </w:pPr>
            <w:r>
              <w:rPr>
                <w:sz w:val="18"/>
              </w:rPr>
              <w:t>G2 小样本真实使用</w:t>
            </w:r>
          </w:p>
        </w:tc>
        <w:tc>
          <w:tcPr>
            <w:tcW w:type="dxa" w:w="3293"/>
            <w:vAlign w:val="center"/>
          </w:tcPr>
          <w:p>
            <w:pPr>
              <w:spacing w:after="40"/>
            </w:pPr>
            <w:r>
              <w:rPr>
                <w:sz w:val="18"/>
              </w:rPr>
              <w:t>用户任务对照与负面反馈报告</w:t>
            </w:r>
          </w:p>
        </w:tc>
        <w:tc>
          <w:tcPr>
            <w:tcW w:type="dxa" w:w="3293"/>
            <w:vAlign w:val="center"/>
          </w:tcPr>
          <w:p>
            <w:pPr>
              <w:spacing w:after="40"/>
            </w:pPr>
            <w:r>
              <w:rPr>
                <w:sz w:val="18"/>
              </w:rPr>
              <w:t>证据表明总体负担减少且可靠性足够</w:t>
            </w:r>
          </w:p>
        </w:tc>
      </w:tr>
      <w:tr>
        <w:tc>
          <w:tcPr>
            <w:tcW w:type="dxa" w:w="3293"/>
            <w:vAlign w:val="center"/>
          </w:tcPr>
          <w:p>
            <w:pPr>
              <w:spacing w:after="40"/>
            </w:pPr>
            <w:r>
              <w:rPr>
                <w:sz w:val="18"/>
              </w:rPr>
              <w:t>G3 下一期选择</w:t>
            </w:r>
          </w:p>
        </w:tc>
        <w:tc>
          <w:tcPr>
            <w:tcW w:type="dxa" w:w="3293"/>
            <w:vAlign w:val="center"/>
          </w:tcPr>
          <w:p>
            <w:pPr>
              <w:spacing w:after="40"/>
            </w:pPr>
            <w:r>
              <w:rPr>
                <w:sz w:val="18"/>
              </w:rPr>
              <w:t>维持/收缩/转向决策及原因</w:t>
            </w:r>
          </w:p>
        </w:tc>
        <w:tc>
          <w:tcPr>
            <w:tcW w:type="dxa" w:w="3293"/>
            <w:vAlign w:val="center"/>
          </w:tcPr>
          <w:p>
            <w:pPr>
              <w:spacing w:after="40"/>
            </w:pPr>
            <w:r>
              <w:rPr>
                <w:sz w:val="18"/>
              </w:rPr>
              <w:t>满足门槛才探索家庭授权协作</w:t>
            </w:r>
          </w:p>
        </w:tc>
      </w:tr>
    </w:tbl>
    <w:p>
      <w:pPr>
        <w:pStyle w:val="Heading1"/>
      </w:pPr>
      <w:r>
        <w:t>12. 后续版本候选（本期不承诺）</w:t>
      </w:r>
    </w:p>
    <w:p>
      <w:r>
        <w:t>V2 家庭协作：发起人请求→被邀请人自主接受/拒绝→双方确认→结果反馈；增加细粒度共享与撤销。V3 长辈独立事务支持和可授权代办。V4 低打扰主动服务与多步骤生活事务。每个方向都需要自身的用户证据和合规审查。</w:t>
      </w:r>
    </w:p>
    <w:p>
      <w:pPr>
        <w:pStyle w:val="Heading1"/>
      </w:pPr>
      <w:r>
        <w:t>13. 依据与参考</w:t>
      </w:r>
    </w:p>
    <w:p>
      <w:r>
        <w:t>MVP 是基于产品调研报告 V0.1 的方案推导，具体前提和竞品资料见配套《产品调研报告》；主要参考资料：</w:t>
      </w:r>
    </w:p>
    <w:p>
      <w:r>
        <w:t>[S01] 国家统计局：第三次全国时间利用调查公报（第二号）（2024-10-31）</w:t>
        <w:br/>
        <w:t>https://www.stats.gov.cn/zwfwck/sjfb/202410/t20241031_1957216.html</w:t>
      </w:r>
    </w:p>
    <w:p>
      <w:r>
        <w:t>[S02] 中国儿童中心：儿童校外生活状况报告：家庭教育（2024-07-09）</w:t>
        <w:br/>
        <w:t>https://www.ccc.org.cn/art/2024/7/9/art_52_224477.html</w:t>
      </w:r>
    </w:p>
    <w:p>
      <w:r>
        <w:t>[S03] Google Labs：The new CC, an AI agent built for families（2026-09-17）</w:t>
        <w:br/>
        <w:t>https://blog.google/innovation-and-ai/models-and-research/google-labs/cc-expanding-to-groups/</w:t>
      </w:r>
    </w:p>
    <w:p>
      <w:r>
        <w:t>[S04] Ohai 官方功能介绍（访问于2026-09-23）</w:t>
        <w:br/>
        <w:t>https://www.ohai.ai/features/</w:t>
      </w:r>
    </w:p>
    <w:p>
      <w:r>
        <w:t>[S05] Ohai Smart Ohai Sync（注意标注 waitlist 的未上线能力）（访问于2026-09-23）</w:t>
        <w:br/>
        <w:t>https://www.ohai.ai/features/unified-family-organizer/</w:t>
      </w:r>
    </w:p>
    <w:p>
      <w:r>
        <w:t>[S06] Domio 官方功能介绍（访问于2026-09-23）</w:t>
        <w:br/>
        <w:t>https://domio.ai/features</w:t>
      </w:r>
    </w:p>
    <w:p>
      <w:r>
        <w:t>[S07] Eva 官方产品与套餐（访问于2026-09-23）</w:t>
        <w:br/>
        <w:t>https://www.myevaos.com/</w:t>
      </w:r>
    </w:p>
    <w:p>
      <w:r>
        <w:t>[S08] Quok 官方网站（访问于2026-09-23）</w:t>
        <w:br/>
        <w:t>https://getquok.com/</w:t>
      </w:r>
    </w:p>
    <w:p>
      <w:r>
        <w:t>[S09] Quok：家庭数据与 AI 使用说明（访问于2026-09-23）</w:t>
        <w:br/>
        <w:t>https://help.getquok.com/privacy/your-familys-data/</w:t>
      </w:r>
    </w:p>
    <w:p>
      <w:r>
        <w:t>[S10] Quok：AI 权限说明（访问于2026-09-23）</w:t>
        <w:br/>
        <w:t>https://help.getquok.com/assistant/what-the-assistant-can-access/</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家庭 AI 代理人｜产品研究与 MVP 规划｜内部讨论稿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CJK SC" w:hAnsi="Noto Sans CJK SC" w:eastAsia="Noto Sans CJK SC"/>
      <w:color w:val="2534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4A7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61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7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