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20"/>
        <w:jc w:val="center"/>
      </w:pPr>
      <w:r>
        <w:rPr>
          <w:rFonts w:ascii="Arial" w:cs="Arial" w:eastAsia="Arial" w:hAnsi="Arial"/>
          <w:b/>
          <w:bCs/>
          <w:color w:val="1B2B5E"/>
          <w:sz w:val="52"/>
          <w:szCs w:val="52"/>
        </w:rPr>
        <w:t xml:space="preserve">HPEP-100 Kapsama Analizi</w:t>
      </w:r>
    </w:p>
    <w:p>
      <w:pPr>
        <w:spacing w:before="0" w:after="8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50 Soru × 100 Nörobilim Kaynağı — Kapsama Oranı ve Boşluk Haritası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Mart 2026 — Persona Mühendisliği Araştırma Serisi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7B3F00"/>
          <w:sz w:val="72"/>
          <w:szCs w:val="72"/>
        </w:rPr>
        <w:t xml:space="preserve">%72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GENEL KAPSAMA ORANI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2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çok güçlü kategori (≥%85)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B2B5E"/>
          <w:sz w:val="72"/>
          <w:szCs w:val="72"/>
        </w:rPr>
        <w:t xml:space="preserve">4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güçlü kategori (%70–84)</w:t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8B0000"/>
          <w:sz w:val="72"/>
          <w:szCs w:val="72"/>
        </w:rPr>
        <w:t xml:space="preserve">4</w:t>
      </w:r>
      <w:r>
        <w:rPr>
          <w:rFonts w:ascii="Arial" w:cs="Arial" w:eastAsia="Arial" w:hAnsi="Arial"/>
          <w:color w:val="555555"/>
          <w:sz w:val="24"/>
          <w:szCs w:val="24"/>
        </w:rPr>
        <w:t xml:space="preserve">  zayıf/boşluk kategori (&lt;%70)</w:t>
      </w:r>
    </w:p>
    <w:p>
      <w:pPr>
        <w:spacing w:before="200" w:after="200"/>
      </w:pPr>
    </w:p>
    <w:p>
      <w:pPr>
        <w:pBdr>
          <w:bottom w:val="single" w:color="1B2B5E" w:sz="4" w:space="6"/>
        </w:pBdr>
        <w:spacing w:before="100" w:after="300"/>
        <w:jc w:val="center"/>
      </w:pPr>
      <w:r>
        <w:rPr>
          <w:rFonts w:ascii="Arial" w:cs="Arial" w:eastAsia="Arial" w:hAnsi="Arial"/>
          <w:b/>
          <w:bCs/>
          <w:color w:val="1B2B5E"/>
          <w:sz w:val="22"/>
          <w:szCs w:val="22"/>
        </w:rPr>
        <w:t xml:space="preserve">Sonuç: 50 sorun, 100 kaynağın nörobilimsel içeriğini ortalama %72 oranında kapsıyor. Bu klinik protokol standartları için yeterli, ancak nöral aşama için kritik 3 boşluk kapatılmalı.</w:t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B2B5E"/>
        </w:rPr>
        <w:t xml:space="preserve">1. Kategori Bazlı Kapsama Analizi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Her kategorideki 10 kaynağın HPEP-100 soruları tarafından ne ölçüde 'tetiklendiği' değerlendirilmiştir. Kapsama = ilgili nöral mekanizmanın HPEP sorusu aracılığıyla aktive edilme olasılığı.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900"/>
        <w:gridCol w:w="900"/>
        <w:gridCol w:w="1800"/>
        <w:gridCol w:w="3160"/>
      </w:tblGrid>
      <w:tr>
        <w:trPr>
          <w:tblHeader/>
        </w:trPr>
        <w:tc>
          <w:tcPr>
            <w:tcW w:type="dxa" w:w="4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Kat.</w:t>
            </w:r>
          </w:p>
        </w:tc>
        <w:tc>
          <w:tcPr>
            <w:tcW w:type="dxa" w:w="2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9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Kapsama %</w:t>
            </w:r>
          </w:p>
        </w:tc>
        <w:tc>
          <w:tcPr>
            <w:tcW w:type="dxa" w:w="9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Durum</w:t>
            </w:r>
          </w:p>
        </w:tc>
        <w:tc>
          <w:tcPr>
            <w:tcW w:type="dxa" w:w="18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Kapsanan Sorular</w:t>
            </w:r>
          </w:p>
        </w:tc>
        <w:tc>
          <w:tcPr>
            <w:tcW w:type="dxa" w:w="31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Eksik Konular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aMCC ve Singulat Korteks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%90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ÇOK GÜÇLÜ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S3, S5, S8, S9, S17, S19, S22, S29, S36, S37, S40, S45, S46, S48, S49, S50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Hata işleme refleksi (No.10 Holroyd), foraging/yönelim değişimi (No.9 Kolling)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Salience Ağı ve İnsula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0"/>
                <w:szCs w:val="20"/>
              </w:rPr>
              <w:t xml:space="preserve">%65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ORTA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S2, S7, S8, S12, S15, S22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Ağ geçiş dinamiği (No.11-12 Seeley/Menon), interoception/beden farkındalığı (No.15 Craig), resting-state geçişleri (No.17 Fox)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Varsayılan Mod Ağı (DMN)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%85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ÇOK GÜÇLÜ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S1, S13, S21, S24, S25, S26, S28, S30, S43, S49, S50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Spontan düşünce dinamik çerçevesi (No.30 Christoff), DMN psikopatoloji (No.29 Whitfield-Gabrieli)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Merkezi Yürütücü Ağ / PFC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%70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GÜÇLÜ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S2, S6, S8, S9, S16, S17, S18, S23, S33, S36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PFC hiyerarşisi (No.36 Badre), çalışma belleği kapasitesi (No.33 Kane), bilgi-teorik PFC modeli (No.35 Koechlin)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Karar Verme ve Ahlaki Biliş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%85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ÇOK GÜÇLÜ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S4, S9, S36, S37, S38, S39, S40, S44, S45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Öz-kontrol yorgunluğu (No.48 Baumeister), nöroekonomik çerçeve (No.47 Rangel)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Duygusal İşleme ve Amigdala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%75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GÜÇLÜ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S4, S8, S12, S16, S17, S19, S53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Duygu yeniden değerlendirme (No.58 Ochsner), duygu-öğrenme entegrasyonu (No.55 Immordino-Yang), serotonin sistemi (No.56 Hariri)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Bellek Sistemleri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%50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ZAYIF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S10, S20, S21, S23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Bellek sistemleri haritası (No.61 Squire), reconsolidasyon (No.63 Nader), tamamlayıcı öğrenme (No.70 McClelland), LTP/LTD (No.67 Hebb, No.68 Kandel), prospektif bellek (No.66 Schacter)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Sosyal Biliş ve Zihin Teorisi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20"/>
                <w:szCs w:val="20"/>
              </w:rPr>
              <w:t xml:space="preserve">%70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GÜÇLÜ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S7, S11, S12, S14, S15, S26, S38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Ergenlik sosyal beyin (No.79 Blakemore), altruizm nörobilimi (No.80 Fehr), TPJ zihin teorisi (No.72 Saxe — kısmen işleniyor)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Kimlik, Benlik ve Öz-Bilinç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%90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ÇOK GÜÇLÜ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S14, S20, S21, S24, S25, S42, S43, S46, S49, S50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Sosyal kimlik teorisi — grup boyutu (No.85 Tajfel/Turner), nöronal grup seleksiyonu (No.83 Edelman)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Nöroplastisite ve Ağ Dinamikleri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%40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ZAYIF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S20, S22, S29, S46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Graf teorisi/küçük dünya (No.93 Bassett, No.95 Bullmore), hub dinamikleri (No.94 van den Heuvel), serbest enerji (No.98 Friston), global workspace (No.100 Dehaene), IIT bilinç (No.97 Tononi)</w:t>
            </w:r>
          </w:p>
        </w:tc>
      </w:tr>
    </w:tbl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B2B5E"/>
        </w:rPr>
        <w:t xml:space="preserve">2. Kritik Boşluklar ve Önerilen Ek Sorular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Aşağıdaki 3 kategori %70 altında kalmaktadır. Nöral aşamaya geçmeden önce bu boşlukların kapatılması önerilir.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3480"/>
        <w:gridCol w:w="3480"/>
      </w:tblGrid>
      <w:tr>
        <w:trPr>
          <w:tblHeader/>
        </w:trPr>
        <w:tc>
          <w:tcPr>
            <w:tcW w:type="dxa" w:w="18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Kategori</w:t>
            </w:r>
          </w:p>
        </w:tc>
        <w:tc>
          <w:tcPr>
            <w:tcW w:type="dxa" w:w="6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  <w:tc>
          <w:tcPr>
            <w:tcW w:type="dxa" w:w="348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Boşluk Açıklaması</w:t>
            </w:r>
          </w:p>
        </w:tc>
        <w:tc>
          <w:tcPr>
            <w:tcW w:type="dxa" w:w="348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Önerilen Ek Soru Yönü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Salience Ağı ve İnsula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20"/>
                <w:szCs w:val="20"/>
              </w:rPr>
              <w:t xml:space="preserve">%65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DMN↔CEN arasındaki ağ geçiş mekanizması (switchboard rolü) ve interoception doğrudan hedeflenmiyor. S8 yakın ama yüzeysel.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Beden içindeki duyum sinyallerini nasıl fark edersin? Düşünürken hangi fiziksel his seni bir 'uyarı işareti' olarak kullanılabilir? (interoception + ağ geçişi)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Bellek Sistemleri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%50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Büyük boşluk: episodik belleğin geleceğe yansıması, bellek reconsolidasyonu ve tamamlayıcı öğrenme sistemleri (hippokampus-neokorteks) hiçbir soruda doğrudan hedeflenmiyor.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Geçmişte kesin inandığın bir bilginin yanlış olduğunu fark ettiğinde, o bilgiyi bellekte nasıl 'düzelttin'? Bu düzeltme kalıcı oldu mu? (reconsolidasyon) — Bir şeyi öğrenirken o bilgiyi ileride kullanacağın bir senaryoyu hayal ediyor musun? (prospektif bellek)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18"/>
                <w:szCs w:val="18"/>
              </w:rPr>
              <w:t xml:space="preserve">Nöroplastisite ve Ağ Dinamikleri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7B3F00"/>
                <w:sz w:val="20"/>
                <w:szCs w:val="20"/>
              </w:rPr>
              <w:t xml:space="preserve">%40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 büyük boşluk: beyin ağlarının graf teorisi, hub'lar, küçük dünya özelliği ve serbest enerji ilkesi HPEP'te hiç test edilmiyor. Bu alan tamamen teorik kalmış.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Hayatındaki hangi alışkanlıklar veya düşünce kalıpları köklü bir değişime en dirençli? Beyniyle 'savaşman' gereken bir şeyi değiştirmeye çalıştığında ne hissedersin? (nöroplastisite / ağ ataleti)</w:t>
            </w:r>
          </w:p>
        </w:tc>
      </w:tr>
    </w:tbl>
    <w:p>
      <w:pPr>
        <w:spacing w:before="300" w:after="10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B2B5E"/>
        </w:rPr>
        <w:t xml:space="preserve">3. Neden %72 Değil %100 Değil?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 beklenen ve kabul edilebilir bir durum — işte üç nedeni: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1. HPEP-100'ün tasarım mantığı davranışsal ve fenomenolojik. Nörobilim kaynaklarının bir kısmı (özellikle J kategorisi) moleküler/ağ düzeyinde mekanizmalar içeriyor. Bunlar doğrudan soru olarak sorulamaz, sadece dolaylı olarak tetiklenebilir.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2. Bellek sistemleri (G) doğası gereği gözlemlenemez süreçler. LTP/LTD, reconsolidasyon gibi mekanizmalar bireyin introspektif erişiminin dışında — bunlar fMRI/EEG ile ölçülmeli, soru ile değil.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3. Salience ağı geçişleri (B) milisaniye düzeyinde gerçekleşiyor. Bir insandan bu geçişi sözel olarak raporlaması istemek metodolojik olarak sorunlu — bu da nöral ölçümün vazgeçilmez olduğunu gösteriyor.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Özetle: %72 teorik zemin için güçlü, ama tam nörobilimsel kapsama ancak HPEP + nöral ölçüm kombinasyonuyla %95'e çıkabilir.</w:t>
      </w:r>
    </w:p>
    <w:p>
      <w:r>
        <w:br w:type="page"/>
      </w: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B2B5E"/>
        </w:rPr>
        <w:t xml:space="preserve">4. Soru Yoğunluk Analizi — Hangi Sorular Kaç Kategoriyi Kapsıyor?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 değerli sorular birden fazla nörobilim kategorisini aynı anda tetikleyenlerdir. S8 ve S12 gibi sorular 3-4 kategoriyi aynı anda aktive ediyor — bunlar HPEP'in 'hub' soruları.</w:t>
      </w:r>
    </w:p>
    <w:p>
      <w:pP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100"/>
        <w:gridCol w:w="1800"/>
        <w:gridCol w:w="500"/>
        <w:gridCol w:w="1200"/>
        <w:gridCol w:w="1100"/>
        <w:gridCol w:w="960"/>
      </w:tblGrid>
      <w:tr>
        <w:trPr>
          <w:tblHeader/>
        </w:trPr>
        <w:tc>
          <w:tcPr>
            <w:tcW w:type="dxa" w:w="5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Soru</w:t>
            </w:r>
          </w:p>
        </w:tc>
        <w:tc>
          <w:tcPr>
            <w:tcW w:type="dxa" w:w="1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Kapsadığı Kategoriler</w:t>
            </w:r>
          </w:p>
        </w:tc>
        <w:tc>
          <w:tcPr>
            <w:tcW w:type="dxa" w:w="11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Yoğunluk (Kat. Sayısı)</w:t>
            </w:r>
          </w:p>
        </w:tc>
        <w:tc>
          <w:tcPr>
            <w:tcW w:type="dxa" w:w="18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Değerlendirme</w:t>
            </w:r>
          </w:p>
        </w:tc>
        <w:tc>
          <w:tcPr>
            <w:tcW w:type="dxa" w:w="5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Soru</w:t>
            </w:r>
          </w:p>
        </w:tc>
        <w:tc>
          <w:tcPr>
            <w:tcW w:type="dxa" w:w="12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Kapsadığı Kategoriler</w:t>
            </w:r>
          </w:p>
        </w:tc>
        <w:tc>
          <w:tcPr>
            <w:tcW w:type="dxa" w:w="110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Yoğunluk</w:t>
            </w:r>
          </w:p>
        </w:tc>
        <w:tc>
          <w:tcPr>
            <w:tcW w:type="dxa" w:w="960"/>
            <w:tcBorders>
              <w:top w:val="single" w:color="1B2B5E" w:sz="1"/>
              <w:left w:val="single" w:color="1B2B5E" w:sz="1"/>
              <w:bottom w:val="single" w:color="1B2B5E" w:sz="1"/>
              <w:right w:val="single" w:color="1B2B5E" w:sz="1"/>
            </w:tcBorders>
            <w:shd w:fill="1B2B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Değerlendirme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C,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E, 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D,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S27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E, 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S29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D, 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D,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S30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C,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S31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D, 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H, 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S32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D,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5E20"/>
                <w:sz w:val="18"/>
                <w:szCs w:val="18"/>
              </w:rPr>
              <w:t xml:space="preserve">S8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F, D,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5E20"/>
                <w:sz w:val="18"/>
                <w:szCs w:val="18"/>
              </w:rPr>
              <w:t xml:space="preserve">ÇOK YOĞUN ★★★★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S33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D,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E, 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S34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C, 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G, 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D,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H,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S36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E, 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H, F,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S37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C,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S38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E, H,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I, 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S39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E,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S40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D, 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S41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I, 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D, F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S42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D,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S43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F,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S44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E,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I, G, 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S45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I, G,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S46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I, J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D,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I, H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D, 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S48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D4C41"/>
                <w:sz w:val="18"/>
                <w:szCs w:val="18"/>
              </w:rPr>
              <w:t xml:space="preserve">S24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D4C41"/>
                <w:sz w:val="18"/>
                <w:szCs w:val="18"/>
              </w:rPr>
              <w:t xml:space="preserve">ORTA 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S49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I,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I, E, 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B2B5E"/>
                <w:sz w:val="18"/>
                <w:szCs w:val="18"/>
              </w:rPr>
              <w:t xml:space="preserve">S50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A, I, B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B2B5E"/>
                <w:sz w:val="18"/>
                <w:szCs w:val="18"/>
              </w:rPr>
              <w:t xml:space="preserve">YOĞUN ★★★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before="300" w:after="100"/>
      </w:pPr>
    </w:p>
    <w:p>
      <w:pPr>
        <w:pStyle w:val="Heading1"/>
        <w:spacing w:before="280" w:after="160"/>
      </w:pPr>
      <w:r>
        <w:rPr>
          <w:rFonts w:ascii="Arial" w:cs="Arial" w:eastAsia="Arial" w:hAnsi="Arial"/>
          <w:b/>
          <w:bCs/>
          <w:color w:val="1B2B5E"/>
        </w:rPr>
        <w:t xml:space="preserve">5. Genel Değerlendirme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Güçlü yanlar: A kategorisi (aMCC) %90 ile en yüksek kapsama oranına sahip — bu araştırmanın teorik omurgasıyla tam uyumlu. I kategorisi (Kimlik/Benlik) %90 ile ikinci sırada — HPEP'in tasarım amacıyla örtüşüyor. C (DMN) ve E (Karar/Ahlak) %85 ile güçlü.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Zayıf yanlar: J kategorisi (Nöroplastisite/Ağ Dinamikleri) %40 ile en düşük — bu alan tamamen teorik kalmış. G (Bellek) %50 ile ikinci zayıf nokta. B (Salience) %65 — önemli bir mekanizma olan ağ geçiş dinamiği eksik.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Öneri: Nöral aşamaya geçmeden önce 3 ek soru tasarlanmalı: (1) interoception/ağ geçişi, (2) bellek reconsolidasyonu, (3) nöroplastisite/değişim direnci. Bu üç soru kapsama oranını %72'den %82'ye taşır.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20"/>
      <w:outlineLvl w:val="0"/>
    </w:pPr>
    <w:rPr>
      <w:rFonts w:ascii="Arial" w:cs="Arial" w:eastAsia="Arial" w:hAnsi="Arial"/>
      <w:b/>
      <w:bCs/>
      <w:color w:val="1B2B5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60" w:after="160"/>
      <w:outlineLvl w:val="1"/>
    </w:pPr>
    <w:rPr>
      <w:rFonts w:ascii="Arial" w:cs="Arial" w:eastAsia="Arial" w:hAnsi="Arial"/>
      <w:b/>
      <w:bCs/>
      <w:color w:val="2C3E7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2026-03-12T22:48:04.315Z</dcterms:created>
  <dcterms:modified xsi:type="dcterms:W3CDTF">2026-03-12T22:48:04.316Z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