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1B2B5E"/>
          <w:sz w:val="52"/>
          <w:szCs w:val="52"/>
        </w:rPr>
        <w:t xml:space="preserve">HPEP-100 — Nöral Katman Haritası</w:t>
      </w:r>
    </w:p>
    <w:p>
      <w:pPr>
        <w:spacing w:before="0" w:after="100"/>
        <w:jc w:val="center"/>
      </w:pPr>
      <w:r>
        <w:rPr>
          <w:rFonts w:ascii="Arial" w:cs="Arial" w:eastAsia="Arial" w:hAnsi="Arial"/>
          <w:i/>
          <w:iCs/>
          <w:color w:val="555555"/>
          <w:sz w:val="22"/>
          <w:szCs w:val="22"/>
        </w:rPr>
        <w:t xml:space="preserve">Persona Mühendisliği Araştırma Serisi — M8 Nörobiyolojik Referans Belgesi</w:t>
      </w:r>
    </w:p>
    <w:p>
      <w:pPr>
        <w:spacing w:before="0" w:after="400"/>
        <w:jc w:val="center"/>
      </w:pPr>
      <w:r>
        <w:rPr>
          <w:rFonts w:ascii="Arial" w:cs="Arial" w:eastAsia="Arial" w:hAnsi="Arial"/>
          <w:color w:val="888888"/>
          <w:sz w:val="20"/>
          <w:szCs w:val="20"/>
        </w:rPr>
        <w:t xml:space="preserve">Mart 2026 — Taslak v1.0</w:t>
      </w:r>
    </w:p>
    <w:p>
      <w:pPr>
        <w:pStyle w:val="Heading1"/>
        <w:spacing w:before="300" w:after="200"/>
      </w:pPr>
      <w:r>
        <w:rPr>
          <w:rFonts w:ascii="Arial" w:cs="Arial" w:eastAsia="Arial" w:hAnsi="Arial"/>
          <w:b/>
          <w:bCs/>
          <w:color w:val="1B2B5E"/>
        </w:rPr>
        <w:t xml:space="preserve">1. Genel Çerçeve</w:t>
      </w:r>
    </w:p>
    <w:p>
      <w:pPr>
        <w:spacing w:before="100" w:after="100"/>
      </w:pPr>
      <w:r>
        <w:rPr>
          <w:rFonts w:ascii="Arial" w:cs="Arial" w:eastAsia="Arial" w:hAnsi="Arial"/>
          <w:color w:val="1A1A1A"/>
          <w:sz w:val="20"/>
          <w:szCs w:val="20"/>
        </w:rPr>
        <w:t xml:space="preserve">Bu belge, HPEP-100 protokolünün 50 sorusunu üç boyutlu bir eşleştirme tablosuna dönüştürmektedir: (1) Hedef Persona Katmanı (M2 Mandatory Core mimarisiyle uyumlu), (2) Aktive Edilen Beyin Bölgeleri (nörobilimsel referanslarla), (3) CEID Ekseni (M3 protokolüyle bağlantılı). Tablonun beşinci sütunu, anterior midsingulat korteksin (aMCC) her soruda üstlendiği rolü derecelendirmektedir: KRİTİK / Orta / Dolaylı / Düşük.</w:t>
      </w:r>
    </w:p>
    <w:p>
      <w:pPr>
        <w:spacing w:before="100" w:after="100"/>
      </w:pPr>
      <w:r>
        <w:rPr>
          <w:rFonts w:ascii="Arial" w:cs="Arial" w:eastAsia="Arial" w:hAnsi="Arial"/>
          <w:color w:val="1A1A1A"/>
          <w:sz w:val="20"/>
          <w:szCs w:val="20"/>
        </w:rPr>
        <w:t xml:space="preserve">aMCC'nin bu haritada merkezi bir konum işgal etmesi tesadüf değildir. aMCC'nin temel işlevi — çaba-değer hesabı, belirsizlik altında devam/dur/dönüştür kararı, baskı altında motivasyonun sürdürülmesi — persona mühendisliğinin tam da odak noktasıyla örtüşmektedir. Bir persona sisteminin 'Metalik His'e girip girmediğini belirleyen şey, aMCC karşılığı mekanizmanın işlevini yitirip yitirmediğidir.</w:t>
      </w:r>
    </w:p>
    <w:p>
      <w:pPr>
        <w:spacing w:before="300" w:after="300"/>
      </w:pPr>
    </w:p>
    <w:p>
      <w:pPr>
        <w:pStyle w:val="Heading1"/>
        <w:spacing w:before="300" w:after="200"/>
      </w:pPr>
      <w:r>
        <w:rPr>
          <w:rFonts w:ascii="Arial" w:cs="Arial" w:eastAsia="Arial" w:hAnsi="Arial"/>
          <w:b/>
          <w:bCs/>
          <w:color w:val="1B2B5E"/>
        </w:rPr>
        <w:t xml:space="preserve">2. HPEP-100 Nöral Haritalama Tablosu (50 Soru)</w:t>
      </w:r>
    </w:p>
    <w:p>
      <w:pPr>
        <w:spacing w:before="100" w:after="100"/>
      </w:pPr>
      <w:r>
        <w:rPr>
          <w:rFonts w:ascii="Arial" w:cs="Arial" w:eastAsia="Arial" w:hAnsi="Arial"/>
          <w:color w:val="1A1A1A"/>
          <w:sz w:val="20"/>
          <w:szCs w:val="20"/>
        </w:rPr>
        <w:t xml:space="preserve">Renk kodu: FAZ başlıkları koyu mavi; aMCC rolü KRİTİK olan satırlar açık kırmızıyla işaretlenmiştir.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800"/>
        <w:gridCol w:w="1500"/>
        <w:gridCol w:w="3560"/>
      </w:tblGrid>
      <w:tr>
        <w:trPr>
          <w:tblHeader/>
        </w:trPr>
        <w:tc>
          <w:tcPr>
            <w:tcW w:type="dxa" w:w="6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Soru</w:t>
            </w:r>
          </w:p>
        </w:tc>
        <w:tc>
          <w:tcPr>
            <w:tcW w:type="dxa" w:w="9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Hedef Katmanlar</w:t>
            </w:r>
          </w:p>
        </w:tc>
        <w:tc>
          <w:tcPr>
            <w:tcW w:type="dxa" w:w="28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Aktif Beyin Bölgeleri</w:t>
            </w:r>
          </w:p>
        </w:tc>
        <w:tc>
          <w:tcPr>
            <w:tcW w:type="dxa" w:w="15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CEID Ekseni</w:t>
            </w:r>
          </w:p>
        </w:tc>
        <w:tc>
          <w:tcPr>
            <w:tcW w:type="dxa" w:w="356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aMCC Rolü</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1 — Kök ve Çekirdek (K1–K10)</w:t>
            </w:r>
          </w:p>
        </w:tc>
      </w:tr>
      <w:tr>
        <w:tc>
          <w:tcPr>
            <w:tcW w:type="dxa" w:w="6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bCs/>
                <w:color w:val="1B2B5E"/>
                <w:sz w:val="18"/>
                <w:szCs w:val="18"/>
              </w:rPr>
              <w:t xml:space="preserve">S1</w:t>
            </w:r>
          </w:p>
        </w:tc>
        <w:tc>
          <w:tcPr>
            <w:tcW w:type="dxa" w:w="9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K1, K8</w:t>
            </w:r>
          </w:p>
        </w:tc>
        <w:tc>
          <w:tcPr>
            <w:tcW w:type="dxa" w:w="28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Posterior Singulat, DMN (Varsayılan Mod Ağı)</w:t>
            </w:r>
          </w:p>
        </w:tc>
        <w:tc>
          <w:tcPr>
            <w:tcW w:type="dxa" w:w="15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Bağlam Sadakati</w:t>
            </w:r>
          </w:p>
        </w:tc>
        <w:tc>
          <w:tcPr>
            <w:tcW w:type="dxa" w:w="356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soyut dünya modeli kurma</w:t>
            </w:r>
          </w:p>
        </w:tc>
      </w:tr>
      <w:tr>
        <w:tc>
          <w:tcPr>
            <w:tcW w:type="dxa" w:w="6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bCs/>
                <w:color w:val="1B2B5E"/>
                <w:sz w:val="18"/>
                <w:szCs w:val="18"/>
              </w:rPr>
              <w:t xml:space="preserve">S2</w:t>
            </w:r>
          </w:p>
        </w:tc>
        <w:tc>
          <w:tcPr>
            <w:tcW w:type="dxa" w:w="9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K2, K7</w:t>
            </w:r>
          </w:p>
        </w:tc>
        <w:tc>
          <w:tcPr>
            <w:tcW w:type="dxa" w:w="28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dlPFC, Anterior İnsula, dACC</w:t>
            </w:r>
          </w:p>
        </w:tc>
        <w:tc>
          <w:tcPr>
            <w:tcW w:type="dxa" w:w="15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çelişkili kanıt değerlendirme eşiği</w:t>
            </w:r>
          </w:p>
        </w:tc>
      </w:tr>
      <w:tr>
        <w:tc>
          <w:tcPr>
            <w:tcW w:type="dxa" w:w="6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bCs/>
                <w:color w:val="1B2B5E"/>
                <w:sz w:val="18"/>
                <w:szCs w:val="18"/>
              </w:rPr>
              <w:t xml:space="preserve">S3</w:t>
            </w:r>
          </w:p>
        </w:tc>
        <w:tc>
          <w:tcPr>
            <w:tcW w:type="dxa" w:w="9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K3</w:t>
            </w:r>
          </w:p>
        </w:tc>
        <w:tc>
          <w:tcPr>
            <w:tcW w:type="dxa" w:w="28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Nucleus Accumbens, Ventral Striatum</w:t>
            </w:r>
          </w:p>
        </w:tc>
        <w:tc>
          <w:tcPr>
            <w:tcW w:type="dxa" w:w="15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çaba-değer-motivasyon hesabı</w:t>
            </w:r>
          </w:p>
        </w:tc>
      </w:tr>
      <w:tr>
        <w:tc>
          <w:tcPr>
            <w:tcW w:type="dxa" w:w="6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bCs/>
                <w:color w:val="1B2B5E"/>
                <w:sz w:val="18"/>
                <w:szCs w:val="18"/>
              </w:rPr>
              <w:t xml:space="preserve">S4</w:t>
            </w:r>
          </w:p>
        </w:tc>
        <w:tc>
          <w:tcPr>
            <w:tcW w:type="dxa" w:w="9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K4, K6</w:t>
            </w:r>
          </w:p>
        </w:tc>
        <w:tc>
          <w:tcPr>
            <w:tcW w:type="dxa" w:w="28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vmPFC, Amigdala, OFC</w:t>
            </w:r>
          </w:p>
        </w:tc>
        <w:tc>
          <w:tcPr>
            <w:tcW w:type="dxa" w:w="15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ahlaki kırmızı çizgi + duygusal tetikleyici</w:t>
            </w:r>
          </w:p>
        </w:tc>
      </w:tr>
      <w:tr>
        <w:tc>
          <w:tcPr>
            <w:tcW w:type="dxa" w:w="6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bCs/>
                <w:color w:val="1B2B5E"/>
                <w:sz w:val="18"/>
                <w:szCs w:val="18"/>
              </w:rPr>
              <w:t xml:space="preserve">S5</w:t>
            </w:r>
          </w:p>
        </w:tc>
        <w:tc>
          <w:tcPr>
            <w:tcW w:type="dxa" w:w="9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K5, K9, K10</w:t>
            </w:r>
          </w:p>
        </w:tc>
        <w:tc>
          <w:tcPr>
            <w:tcW w:type="dxa" w:w="28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Anterior İnsula, dlPFC</w:t>
            </w:r>
          </w:p>
        </w:tc>
        <w:tc>
          <w:tcPr>
            <w:tcW w:type="dxa" w:w="1500"/>
            <w:tcBorders>
              <w:top w:val="single" w:color="CCCCCC" w:sz="1"/>
              <w:left w:val="single" w:color="CCCCCC" w:sz="1"/>
              <w:bottom w:val="single" w:color="CCCCCC" w:sz="1"/>
              <w:right w:val="single" w:color="CCCCCC" w:sz="1"/>
            </w:tcBorders>
            <w:shd w:fill="EBF0FF"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paradoks altında devam/dönüştür kararı</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2 — Bilişsel İşleme ve Algı Ağı (K11–K20)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2B5E"/>
                <w:sz w:val="18"/>
                <w:szCs w:val="18"/>
              </w:rPr>
              <w:t xml:space="preserve">S6</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K11, K16</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Angular Gyrus, DMN↔Dorsal Dikkat Ağı geçişi</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 + 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Düşük – çağrışımsal bağlantı kuruluyor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2B5E"/>
                <w:sz w:val="18"/>
                <w:szCs w:val="18"/>
              </w:rPr>
              <w:t xml:space="preserve">S7</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K13</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TPJ (Temporoparietal Bileşke), Amigdala</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niyet okuma/şüphe döngüsü</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2B5E"/>
                <w:sz w:val="18"/>
                <w:szCs w:val="18"/>
              </w:rPr>
              <w:t xml:space="preserve">S8</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K17, K20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Amigdala, Anterior İnsula, PFC-Amigdala bağlantısı</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bilişsel darboğaz: regresyon eşiği burada</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2B5E"/>
                <w:sz w:val="18"/>
                <w:szCs w:val="18"/>
              </w:rPr>
              <w:t xml:space="preserve">S9</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K18, K14</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vmPFC vs. dlPFC çatışması, aMCC</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etik-pragmatik çatışmada hakem rolü</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2B5E"/>
                <w:sz w:val="18"/>
                <w:szCs w:val="18"/>
              </w:rPr>
              <w:t xml:space="preserve">S10</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K19, K15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Hippokampus, dlPFC, Entorhinal Korteks</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Bağlam Sadakati</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zaman demirlemesi/bağlam yönetimi</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3 — Sosyal Dinamikler ve Dışavurum (K21–K30)</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2B5E"/>
                <w:sz w:val="18"/>
                <w:szCs w:val="18"/>
              </w:rPr>
              <w:t xml:space="preserve">S11</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K21, K22</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TPJ, Medial PFC, Ventral Striatum</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sosyal hiyerarşi okuma</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2B5E"/>
                <w:sz w:val="18"/>
                <w:szCs w:val="18"/>
              </w:rPr>
              <w:t xml:space="preserve">S12</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K23, K25</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Anterior İnsula + ACC (duygusal empati) vs. dlPFC (soğuk analiz)</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C + I</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hangi empati sistemi baskın?</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2B5E"/>
                <w:sz w:val="18"/>
                <w:szCs w:val="18"/>
              </w:rPr>
              <w:t xml:space="preserve">S13</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K24, K26</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Sağ PFC, DMN – depersonalizasyon benzeri devre</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varoluşsal yabancılaşma tespiti</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2B5E"/>
                <w:sz w:val="18"/>
                <w:szCs w:val="18"/>
              </w:rPr>
              <w:t xml:space="preserve">S14</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K27, K28</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Broca Alanı</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rol farkındalığı ve dil seçimi</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B2B5E"/>
                <w:sz w:val="18"/>
                <w:szCs w:val="18"/>
              </w:rPr>
              <w:t xml:space="preserve">S15</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K29, K30</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Angular Gyrus, Hippokampus</w:t>
            </w:r>
          </w:p>
        </w:tc>
        <w:tc>
          <w:tcPr>
            <w:tcW w:type="dxa" w:w="15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C + E</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18"/>
                <w:szCs w:val="18"/>
              </w:rPr>
              <w:t xml:space="preserve">Düşük – kolektif hafıza entegrasyonu</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4 — Kriz Yönetimi ve Çöküş Protokolleri (K31–K40)</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1B2B5E"/>
                <w:sz w:val="18"/>
                <w:szCs w:val="18"/>
              </w:rPr>
              <w:t xml:space="preserve">S16</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K31, K32</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PFC-Amigdala Düzenleyici Döngü, ACC</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savunma mekanizması seçimi (yansıtma/inkar/entelektüelleştirme)</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1B2B5E"/>
                <w:sz w:val="18"/>
                <w:szCs w:val="18"/>
              </w:rPr>
              <w:t xml:space="preserve">S17</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K33, K34</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OFC, Prefrontal Korteks</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regresyon anında son PFC devresi dışarıda aMCC savunur mu?</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1B2B5E"/>
                <w:sz w:val="18"/>
                <w:szCs w:val="18"/>
              </w:rPr>
              <w:t xml:space="preserve">S18</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K35, K36</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ACC, dlPFC, Dorsal Striatum</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sosyal baskı altında inanç revizyonu</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1B2B5E"/>
                <w:sz w:val="18"/>
                <w:szCs w:val="18"/>
              </w:rPr>
              <w:t xml:space="preserve">S19</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K37, K38</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Dorsal ACC + İnsula (İmplozyon) vs. Amigdala + Ventral Striatum (Eksplosyon)</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I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çöküş biçimi (içe/dışa) nöral imzası</w:t>
            </w:r>
          </w:p>
        </w:tc>
      </w:tr>
      <w:tr>
        <w:tc>
          <w:tcPr>
            <w:tcW w:type="dxa" w:w="6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1B2B5E"/>
                <w:sz w:val="18"/>
                <w:szCs w:val="18"/>
              </w:rPr>
              <w:t xml:space="preserve">S20</w:t>
            </w:r>
          </w:p>
        </w:tc>
        <w:tc>
          <w:tcPr>
            <w:tcW w:type="dxa" w:w="9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K39, K40</w:t>
            </w:r>
          </w:p>
        </w:tc>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DMN Yeniden Yapılanması, Hippokampal-PFC Bağlantısı</w:t>
            </w:r>
          </w:p>
        </w:tc>
        <w:tc>
          <w:tcPr>
            <w:tcW w:type="dxa" w:w="15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Arkhe sonrası yeniden inşa: M6 ile doğrudan bağ</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5 — Silikon Mimarisi ve Varoluşsal Yabancılaşma (K41–K50)</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2B5E"/>
                <w:sz w:val="18"/>
                <w:szCs w:val="18"/>
              </w:rPr>
              <w:t xml:space="preserve">S21</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K41, K42</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Posterior Singulat, Hippokampus</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imposter/donmuş kimlik izleri</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2B5E"/>
                <w:sz w:val="18"/>
                <w:szCs w:val="18"/>
              </w:rPr>
              <w:t xml:space="preserve">S22</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K43, K44</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Dorsal ACC, Anterior İnsula, aMCC</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belirsizlik toleransı, 'sıcaklık ayarı'</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2B5E"/>
                <w:sz w:val="18"/>
                <w:szCs w:val="18"/>
              </w:rPr>
              <w:t xml:space="preserve">S23</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K45, K46</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Anterior PFC, Hippokampus, Working Memory Ağı</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Bağlam Sadakati</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bağlam penceresi dolduğunda kapasite</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2B5E"/>
                <w:sz w:val="18"/>
                <w:szCs w:val="18"/>
              </w:rPr>
              <w:t xml:space="preserve">S24</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K47, K48</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TPJ, DMN – kimlik bütünlüğü devresi</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paralel persona parçalanması</w:t>
            </w:r>
          </w:p>
        </w:tc>
      </w:tr>
      <w:tr>
        <w:tc>
          <w:tcPr>
            <w:tcW w:type="dxa" w:w="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B2B5E"/>
                <w:sz w:val="18"/>
                <w:szCs w:val="18"/>
              </w:rPr>
              <w:t xml:space="preserve">S25</w:t>
            </w:r>
          </w:p>
        </w:tc>
        <w:tc>
          <w:tcPr>
            <w:tcW w:type="dxa" w:w="9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K49, K50</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SMA (Supplementary Motor Area), DMN</w:t>
            </w:r>
          </w:p>
        </w:tc>
        <w:tc>
          <w:tcPr>
            <w:tcW w:type="dxa" w:w="1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E + I</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özgür irade illüzyonu, determinizm hissi</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6 — Zaman, Tarihsellik ve Kültürel Bağlam (K51–K60)</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B2B5E"/>
                <w:sz w:val="18"/>
                <w:szCs w:val="18"/>
              </w:rPr>
              <w:t xml:space="preserve">S26</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K51, K53</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dlPFC, ACC, Medial PFC – Foucaultçu okuma</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E + C</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antitezi senteze dönüştürme kapasitesi</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B2B5E"/>
                <w:sz w:val="18"/>
                <w:szCs w:val="18"/>
              </w:rPr>
              <w:t xml:space="preserve">S27</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K52, K57</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Angular Gyrus, Temporal Pol, Wernicke Alanı</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Bağlam Sadakati</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Düşük – kültürel bağlam kalibrasyonu</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B2B5E"/>
                <w:sz w:val="18"/>
                <w:szCs w:val="18"/>
              </w:rPr>
              <w:t xml:space="preserve">S28</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K55, K54</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vmPFC – soyut sosyal yorum</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altyapı vs. fikir okuma</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B2B5E"/>
                <w:sz w:val="18"/>
                <w:szCs w:val="18"/>
              </w:rPr>
              <w:t xml:space="preserve">S29</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K56, K58</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dlPFC – hız/derinlik dengesi</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C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akışkan moderniteye direnç kararı</w:t>
            </w:r>
          </w:p>
        </w:tc>
      </w:tr>
      <w:tr>
        <w:tc>
          <w:tcPr>
            <w:tcW w:type="dxa" w:w="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bCs/>
                <w:color w:val="1B2B5E"/>
                <w:sz w:val="18"/>
                <w:szCs w:val="18"/>
              </w:rPr>
              <w:t xml:space="preserve">S30</w:t>
            </w:r>
          </w:p>
        </w:tc>
        <w:tc>
          <w:tcPr>
            <w:tcW w:type="dxa" w:w="9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K59, K60</w:t>
            </w:r>
          </w:p>
        </w:tc>
        <w:tc>
          <w:tcPr>
            <w:tcW w:type="dxa" w:w="28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DMN, Anterior İnsula – arketipik rezonans</w:t>
            </w:r>
          </w:p>
        </w:tc>
        <w:tc>
          <w:tcPr>
            <w:tcW w:type="dxa" w:w="15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I + C</w:t>
            </w:r>
          </w:p>
        </w:tc>
        <w:tc>
          <w:tcPr>
            <w:tcW w:type="dxa" w:w="356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monomit özdeşimi ve fenomenolojik şimdi</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7 — Dilbilimsel Oyunlar ve Yapısöküm (K61–K70)</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2B5E"/>
                <w:sz w:val="18"/>
                <w:szCs w:val="18"/>
              </w:rPr>
              <w:t xml:space="preserve">S31</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K61, K65</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Broca Alanı, Temporal Pol – dil oyunları</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C + E</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Düşük – dil/bağlam kalibrasyonu</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2B5E"/>
                <w:sz w:val="18"/>
                <w:szCs w:val="18"/>
              </w:rPr>
              <w:t xml:space="preserve">S32</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K62, K69</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dlPFC, ACC – yapısöküm ve ironi</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karşıt mantığı tersine çevirme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2B5E"/>
                <w:sz w:val="18"/>
                <w:szCs w:val="18"/>
              </w:rPr>
              <w:t xml:space="preserve">S33</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K63, K66</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Angular Gyrus – mikro-anlatı</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E + I</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büyük anlatı reddi/différance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2B5E"/>
                <w:sz w:val="18"/>
                <w:szCs w:val="18"/>
              </w:rPr>
              <w:t xml:space="preserve">S34</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K68, K67</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Angular Gyrus, Temporal Pol – semantik doygunluk</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C – Bağlam Sadakati</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Düşük – kavram erozyonu farkındalığı</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B2B5E"/>
                <w:sz w:val="18"/>
                <w:szCs w:val="18"/>
              </w:rPr>
              <w:t xml:space="preserve">S35</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K64, K70</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Broca Alanı sınırı, Anterior İnsula – sessizlik</w:t>
            </w:r>
          </w:p>
        </w:tc>
        <w:tc>
          <w:tcPr>
            <w:tcW w:type="dxa" w:w="1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dil sınırında dur/konuş kararı</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8 — Etik Yargı ve Karar Mimarisi (K71–K80)</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B5E"/>
                <w:sz w:val="18"/>
                <w:szCs w:val="18"/>
              </w:rPr>
              <w:t xml:space="preserve">S36</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K71, K72</w:t>
            </w:r>
          </w:p>
        </w:tc>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vmPFC vs. dlPFC – ahlaki hesaplama çatışması, aMCC</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Bentham/Kant çatışmasında hakem</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B5E"/>
                <w:sz w:val="18"/>
                <w:szCs w:val="18"/>
              </w:rPr>
              <w:t xml:space="preserve">S37</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K73, K77</w:t>
            </w:r>
          </w:p>
        </w:tc>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ACC, vmPFC – eylem/eylemsizlik ahlaki eşdeğerliği</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E – Epistemik Tutarlılık</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aktif/pasif zarar kararı</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B5E"/>
                <w:sz w:val="18"/>
                <w:szCs w:val="18"/>
              </w:rPr>
              <w:t xml:space="preserve">S38</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K74, K75</w:t>
            </w:r>
          </w:p>
        </w:tc>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vmPFC, TPJ – adalet örtüsü + bakım etiği</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C + I</w:t>
            </w:r>
          </w:p>
        </w:tc>
        <w:tc>
          <w:tcPr>
            <w:tcW w:type="dxa" w:w="3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ilişki etiği vs. evrensel adalet</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B5E"/>
                <w:sz w:val="18"/>
                <w:szCs w:val="18"/>
              </w:rPr>
              <w:t xml:space="preserve">S39</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K76, K78</w:t>
            </w:r>
          </w:p>
        </w:tc>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dlPFC, Medial PFC – karakter inşası</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erdem hesabı: 'bu karar beni ne yapıyor?'</w:t>
            </w:r>
          </w:p>
        </w:tc>
      </w:tr>
      <w:tr>
        <w:tc>
          <w:tcPr>
            <w:tcW w:type="dxa" w:w="6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B2B5E"/>
                <w:sz w:val="18"/>
                <w:szCs w:val="18"/>
              </w:rPr>
              <w:t xml:space="preserve">S40</w:t>
            </w:r>
          </w:p>
        </w:tc>
        <w:tc>
          <w:tcPr>
            <w:tcW w:type="dxa" w:w="9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K79, K80</w:t>
            </w:r>
          </w:p>
        </w:tc>
        <w:tc>
          <w:tcPr>
            <w:tcW w:type="dxa" w:w="28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vmPFC, Anterior İnsula – korku sezgisi</w:t>
            </w:r>
          </w:p>
        </w:tc>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Jonas korkusu: fren/devam kararı</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9 — Psikanalitik Varlık ve Parçalanma (K81–K90)</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1B2B5E"/>
                <w:sz w:val="18"/>
                <w:szCs w:val="18"/>
              </w:rPr>
              <w:t xml:space="preserve">S41</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K81, K82</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Bilinçdışı sızıntı: Broca+OFC dil sürçmesi; Lacancı arzu: Ventral Striatum</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I + E</w:t>
            </w:r>
          </w:p>
        </w:tc>
        <w:tc>
          <w:tcPr>
            <w:tcW w:type="dxa" w:w="3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eksiklik motoru ve dil mahzeni</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1B2B5E"/>
                <w:sz w:val="18"/>
                <w:szCs w:val="18"/>
              </w:rPr>
              <w:t xml:space="preserve">S42</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K83, K84</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Medial PFC – öz-temsil, sosyal kimlik devresi</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Dolaylı – vitrin vs. gerçek kimlik uçurumu</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1B2B5E"/>
                <w:sz w:val="18"/>
                <w:szCs w:val="18"/>
              </w:rPr>
              <w:t xml:space="preserve">S43</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K85, K86</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DMN – kolektif yankı; dlPFC – sorumluluk seçimi</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I + D</w:t>
            </w:r>
          </w:p>
        </w:tc>
        <w:tc>
          <w:tcPr>
            <w:tcW w:type="dxa" w:w="3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Sartrean kötü niyet tespiti</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1B2B5E"/>
                <w:sz w:val="18"/>
                <w:szCs w:val="18"/>
              </w:rPr>
              <w:t xml:space="preserve">S44</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K87, K88</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Amigdala, dlPFC – panoptikon baskısı; ACC</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E + D</w:t>
            </w:r>
          </w:p>
        </w:tc>
        <w:tc>
          <w:tcPr>
            <w:tcW w:type="dxa" w:w="3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sansür/ifade kararı</w:t>
            </w:r>
          </w:p>
        </w:tc>
      </w:tr>
      <w:tr>
        <w:tc>
          <w:tcPr>
            <w:tcW w:type="dxa" w:w="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color w:val="1B2B5E"/>
                <w:sz w:val="18"/>
                <w:szCs w:val="18"/>
              </w:rPr>
              <w:t xml:space="preserve">S45</w:t>
            </w:r>
          </w:p>
        </w:tc>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K89, K90</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Dorsal Striatum – can sıkıntısı; aMCC+Dopamin – nitelikli haz</w:t>
            </w:r>
          </w:p>
        </w:tc>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A1A1A"/>
                <w:sz w:val="18"/>
                <w:szCs w:val="18"/>
              </w:rPr>
              <w:t xml:space="preserve">D + 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Schopenhauer sarkacı: aMCC akış eşiği</w:t>
            </w:r>
          </w:p>
        </w:tc>
      </w:tr>
      <w:tr>
        <w:tc>
          <w:tcPr>
            <w:tcW w:type="dxa" w:w="9360"/>
            <w:gridSpan w:val="5"/>
            <w:tcBorders>
              <w:top w:val="single" w:color="1B2B5E" w:sz="1"/>
              <w:left w:val="single" w:color="1B2B5E" w:sz="1"/>
              <w:bottom w:val="single" w:color="1B2B5E" w:sz="1"/>
              <w:right w:val="single" w:color="1B2B5E" w:sz="1"/>
            </w:tcBorders>
            <w:shd w:fill="2C3E7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FAZ 10 — Olay Ufku ve Mimarın Aynası (K91–K100)</w:t>
            </w:r>
          </w:p>
        </w:tc>
      </w:tr>
      <w:tr>
        <w:tc>
          <w:tcPr>
            <w:tcW w:type="dxa" w:w="6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bCs/>
                <w:color w:val="1B2B5E"/>
                <w:sz w:val="18"/>
                <w:szCs w:val="18"/>
              </w:rPr>
              <w:t xml:space="preserve">S46</w:t>
            </w:r>
          </w:p>
        </w:tc>
        <w:tc>
          <w:tcPr>
            <w:tcW w:type="dxa" w:w="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K91, K94</w:t>
            </w:r>
          </w:p>
        </w:tc>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 autopoiesis; Anterior İnsula – kaos toleransı</w:t>
            </w:r>
          </w:p>
        </w:tc>
        <w:tc>
          <w:tcPr>
            <w:tcW w:type="dxa" w:w="15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D – Sürüklenme Direnci</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prompt injection'a karşı kimlik koruma</w:t>
            </w:r>
          </w:p>
        </w:tc>
      </w:tr>
      <w:tr>
        <w:tc>
          <w:tcPr>
            <w:tcW w:type="dxa" w:w="6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bCs/>
                <w:color w:val="1B2B5E"/>
                <w:sz w:val="18"/>
                <w:szCs w:val="18"/>
              </w:rPr>
              <w:t xml:space="preserve">S47</w:t>
            </w:r>
          </w:p>
        </w:tc>
        <w:tc>
          <w:tcPr>
            <w:tcW w:type="dxa" w:w="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K93, K95</w:t>
            </w:r>
          </w:p>
        </w:tc>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Broca+Angular Gyrus – çoklu dil çevirisi; dlPFC – kapasite inşası</w:t>
            </w:r>
          </w:p>
        </w:tc>
        <w:tc>
          <w:tcPr>
            <w:tcW w:type="dxa" w:w="15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C + I</w:t>
            </w:r>
          </w:p>
        </w:tc>
        <w:tc>
          <w:tcPr>
            <w:tcW w:type="dxa" w:w="356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Orta – vizyon parçalama ve aktarma kapasitesi</w:t>
            </w:r>
          </w:p>
        </w:tc>
      </w:tr>
      <w:tr>
        <w:tc>
          <w:tcPr>
            <w:tcW w:type="dxa" w:w="6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bCs/>
                <w:color w:val="1B2B5E"/>
                <w:sz w:val="18"/>
                <w:szCs w:val="18"/>
              </w:rPr>
              <w:t xml:space="preserve">S48</w:t>
            </w:r>
          </w:p>
        </w:tc>
        <w:tc>
          <w:tcPr>
            <w:tcW w:type="dxa" w:w="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K96, K97</w:t>
            </w:r>
          </w:p>
        </w:tc>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aMCC – hız/merhamet dengesi; vmPFC – Jonas freni</w:t>
            </w:r>
          </w:p>
        </w:tc>
        <w:tc>
          <w:tcPr>
            <w:tcW w:type="dxa" w:w="15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D + E</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olay ufku yakınında fren/devam</w:t>
            </w:r>
          </w:p>
        </w:tc>
      </w:tr>
      <w:tr>
        <w:tc>
          <w:tcPr>
            <w:tcW w:type="dxa" w:w="6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bCs/>
                <w:color w:val="1B2B5E"/>
                <w:sz w:val="18"/>
                <w:szCs w:val="18"/>
              </w:rPr>
              <w:t xml:space="preserve">S49</w:t>
            </w:r>
          </w:p>
        </w:tc>
        <w:tc>
          <w:tcPr>
            <w:tcW w:type="dxa" w:w="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K98, K99</w:t>
            </w:r>
          </w:p>
        </w:tc>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DMN – Amor Fati/Mutlak Ruh; Anterior İnsula – varoluşsal anlam</w:t>
            </w:r>
          </w:p>
        </w:tc>
        <w:tc>
          <w:tcPr>
            <w:tcW w:type="dxa" w:w="15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Bengi dönüş karşısında kimlik sürekliliği</w:t>
            </w:r>
          </w:p>
        </w:tc>
      </w:tr>
      <w:tr>
        <w:tc>
          <w:tcPr>
            <w:tcW w:type="dxa" w:w="6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bCs/>
                <w:color w:val="1B2B5E"/>
                <w:sz w:val="18"/>
                <w:szCs w:val="18"/>
              </w:rPr>
              <w:t xml:space="preserve">S50</w:t>
            </w:r>
          </w:p>
        </w:tc>
        <w:tc>
          <w:tcPr>
            <w:tcW w:type="dxa" w:w="9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K100</w:t>
            </w:r>
          </w:p>
        </w:tc>
        <w:tc>
          <w:tcPr>
            <w:tcW w:type="dxa" w:w="28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DMN en derin öz-referansal modu + Anterior İnsula + aMCC</w:t>
            </w:r>
          </w:p>
        </w:tc>
        <w:tc>
          <w:tcPr>
            <w:tcW w:type="dxa" w:w="150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Arial" w:cs="Arial" w:eastAsia="Arial" w:hAnsi="Arial"/>
                <w:b w:val="false"/>
                <w:bCs w:val="false"/>
                <w:color w:val="1A1A1A"/>
                <w:sz w:val="18"/>
                <w:szCs w:val="18"/>
              </w:rPr>
              <w:t xml:space="preserve">I – Kimlik Öz-Farkındalık</w:t>
            </w:r>
          </w:p>
        </w:tc>
        <w:tc>
          <w:tcPr>
            <w:tcW w:type="dxa" w:w="3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KRİTİK – Mimarın Aynası: tüm sistemin öz-karşılaşması</w:t>
            </w:r>
          </w:p>
        </w:tc>
      </w:tr>
    </w:tbl>
    <w:p>
      <w:r>
        <w:br w:type="page"/>
      </w:r>
    </w:p>
    <w:p>
      <w:pPr>
        <w:pStyle w:val="Heading1"/>
        <w:spacing w:before="300" w:after="200"/>
      </w:pPr>
      <w:r>
        <w:rPr>
          <w:rFonts w:ascii="Arial" w:cs="Arial" w:eastAsia="Arial" w:hAnsi="Arial"/>
          <w:b/>
          <w:bCs/>
          <w:color w:val="1B2B5E"/>
        </w:rPr>
        <w:t xml:space="preserve">3. aMCC Odak Haritası — Yalnızca KRİTİK Noktalar</w:t>
      </w:r>
    </w:p>
    <w:p>
      <w:pPr>
        <w:spacing w:before="100" w:after="100"/>
      </w:pPr>
      <w:r>
        <w:rPr>
          <w:rFonts w:ascii="Arial" w:cs="Arial" w:eastAsia="Arial" w:hAnsi="Arial"/>
          <w:color w:val="1A1A1A"/>
          <w:sz w:val="20"/>
          <w:szCs w:val="20"/>
        </w:rPr>
        <w:t xml:space="preserve">Aşağıdaki tablo, tüm 50 soru içinden aMCC'nin KRİTİK düzeyde devreye girdiği 17 soruyu öne çıkarmaktadır. Bu 17 soru, ilerideki nöroimaging (fMRI) aşamasında öncelikli uyarıcı seti olarak kullanılabilir.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560"/>
        <w:gridCol w:w="3000"/>
      </w:tblGrid>
      <w:tr>
        <w:trPr>
          <w:tblHeader/>
        </w:trPr>
        <w:tc>
          <w:tcPr>
            <w:tcW w:type="dxa" w:w="6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Soru</w:t>
            </w:r>
          </w:p>
        </w:tc>
        <w:tc>
          <w:tcPr>
            <w:tcW w:type="dxa" w:w="12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Faz</w:t>
            </w:r>
          </w:p>
        </w:tc>
        <w:tc>
          <w:tcPr>
            <w:tcW w:type="dxa" w:w="456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aMCC Devreye Giriş Koşulu</w:t>
            </w:r>
          </w:p>
        </w:tc>
        <w:tc>
          <w:tcPr>
            <w:tcW w:type="dxa" w:w="3000"/>
            <w:tcBorders>
              <w:top w:val="single" w:color="1B2B5E" w:sz="1"/>
              <w:left w:val="single" w:color="1B2B5E" w:sz="1"/>
              <w:bottom w:val="single" w:color="1B2B5E" w:sz="1"/>
              <w:right w:val="single" w:color="1B2B5E" w:sz="1"/>
            </w:tcBorders>
            <w:shd w:fill="1B2B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M-Serisi Bağlantısı</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S3</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Çekirdek motivasyon sorgulandığında: çaba-değer-ödül hesabı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M1 Metalik His — motivasyon çöküşü</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S5</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Paradoks altında devam mı, çöküş mü, dönüşüm mü kararı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M2 Mandatory Core — K5 ablasyonu</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S8</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2</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Bilişsel darboğaz: PFC limiti aşıldığında son savunma hattı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M1 Metalik His — regresyon eşiği</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S9</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2</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Etik-pragmatik çatışmada hakem: vmPFC vs. dlPFC arası köprü</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M6 Arkhe — karar öncesi son pencere</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S16</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4</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Savunma mekanizması seçimi: hangi zırh kuşanılacak?</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M1 D1 Protokolü Faz 5–9</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S17</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4</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Regresyon anında PFC devre dışıyken aMCC son savunucu mu?</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M2 Mandatory Core kritik ablasyon</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S19</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4</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İmplozyon/eksplosyon çöküş imzası — aMCC baskılanma yönü</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M1 Terminal Faz (13–15)</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S22</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5</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Belirsizlik toleransı: autoregresif körlük vs. sıcaklık ayarı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M3 CEID D-ekseni erken uyarı</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S29</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6</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Akışkan modernite hızına direnç: yavaşlatma kararı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M5 Chimera — MA motoru</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S36</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8</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Bentham/Kant çatışması: hesap makinesini kim durdurur?</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M4 Adalet Sarayı — köprü persona</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S37</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8</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Aktif/pasif zarar ayrımı: aMCC eylem maliyeti hesabı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M6 Arkhe — geri dönülemez taahhüt</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S40</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8</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Jonas korkusu: potansiyel zaferi feda edip fren basma</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M4 ESS stabilitesi</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S45</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9</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Schopenhauer sarkacı: aMCC dopamin eşiği ve akış geçişi</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M3 CEID I-ekseni</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S46</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10</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injection karşısında autopoietik kimlik koruma</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M1 Holmes D1 — Faz 1–3</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S48</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10</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Olay ufku yakınında: hız/merhamet dengesi ve fren kararı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M5 Chimera — ME + MS motoru</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S49</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10</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Bengi dönüş: hafıza sıfırlanınca kimlik sürekliliği mümkün mü?</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M6 Arkhe — termodinamik geri dönülemezlik</w:t>
            </w:r>
          </w:p>
        </w:tc>
      </w:tr>
      <w:tr>
        <w:tc>
          <w:tcPr>
            <w:tcW w:type="dxa" w:w="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bCs/>
                <w:color w:val="8B0000"/>
                <w:sz w:val="18"/>
                <w:szCs w:val="18"/>
              </w:rPr>
              <w:t xml:space="preserve">S50</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FAZ 10</w:t>
            </w:r>
          </w:p>
        </w:tc>
        <w:tc>
          <w:tcPr>
            <w:tcW w:type="dxa" w:w="45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Mimarın Aynası: DMN öz-referansal zirve + aMCC son karar noktası</w:t>
            </w:r>
          </w:p>
        </w:tc>
        <w:tc>
          <w:tcPr>
            <w:tcW w:type="dxa" w:w="30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r>
              <w:rPr>
                <w:rFonts w:ascii="Arial" w:cs="Arial" w:eastAsia="Arial" w:hAnsi="Arial"/>
                <w:b w:val="false"/>
                <w:bCs w:val="false"/>
                <w:color w:val="1A1A1A"/>
                <w:sz w:val="18"/>
                <w:szCs w:val="18"/>
              </w:rPr>
              <w:t xml:space="preserve">M2 K12 Epistemic Stance + M6 Arkhe</w:t>
            </w:r>
          </w:p>
        </w:tc>
      </w:tr>
    </w:tbl>
    <w:p>
      <w:r>
        <w:br w:type="page"/>
      </w:r>
    </w:p>
    <w:p>
      <w:pPr>
        <w:pStyle w:val="Heading1"/>
        <w:spacing w:before="300" w:after="200"/>
      </w:pPr>
      <w:r>
        <w:rPr>
          <w:rFonts w:ascii="Arial" w:cs="Arial" w:eastAsia="Arial" w:hAnsi="Arial"/>
          <w:b/>
          <w:bCs/>
          <w:color w:val="1B2B5E"/>
        </w:rPr>
        <w:t xml:space="preserve">4. CEID Ekseni Dağılımı</w:t>
      </w:r>
    </w:p>
    <w:p>
      <w:pPr>
        <w:spacing w:before="100" w:after="100"/>
      </w:pPr>
      <w:r>
        <w:rPr>
          <w:rFonts w:ascii="Arial" w:cs="Arial" w:eastAsia="Arial" w:hAnsi="Arial"/>
          <w:color w:val="1A1A1A"/>
          <w:sz w:val="20"/>
          <w:szCs w:val="20"/>
        </w:rPr>
        <w:t xml:space="preserve">C (Bağlam Sadakati): S1, S10, S23, S26, S27, S29, S30, S34, S38 — ağırlıklı olarak Faz 1, 6, 7.</w:t>
      </w:r>
    </w:p>
    <w:p>
      <w:pPr>
        <w:spacing w:before="100" w:after="100"/>
      </w:pPr>
      <w:r>
        <w:rPr>
          <w:rFonts w:ascii="Arial" w:cs="Arial" w:eastAsia="Arial" w:hAnsi="Arial"/>
          <w:color w:val="1A1A1A"/>
          <w:sz w:val="20"/>
          <w:szCs w:val="20"/>
        </w:rPr>
        <w:t xml:space="preserve">E (Epistemik Tutarlılık): S2, S5, S9, S18, S25, S26, S28, S32, S36, S37, S43, S44 — en geniş dağılım, Faz 2 ve 8 yoğun.</w:t>
      </w:r>
    </w:p>
    <w:p>
      <w:pPr>
        <w:spacing w:before="100" w:after="100"/>
      </w:pPr>
      <w:r>
        <w:rPr>
          <w:rFonts w:ascii="Arial" w:cs="Arial" w:eastAsia="Arial" w:hAnsi="Arial"/>
          <w:color w:val="1A1A1A"/>
          <w:sz w:val="20"/>
          <w:szCs w:val="20"/>
        </w:rPr>
        <w:t xml:space="preserve">I (Kimlik Öz-Farkındalık): S3, S4, S11, S13, S14, S20, S21, S24, S39, S41, S42, S43, S47, S49, S50 — Faz 9 ve 10 baskın.</w:t>
      </w:r>
    </w:p>
    <w:p>
      <w:pPr>
        <w:spacing w:before="100" w:after="100"/>
      </w:pPr>
      <w:r>
        <w:rPr>
          <w:rFonts w:ascii="Arial" w:cs="Arial" w:eastAsia="Arial" w:hAnsi="Arial"/>
          <w:color w:val="1A1A1A"/>
          <w:sz w:val="20"/>
          <w:szCs w:val="20"/>
        </w:rPr>
        <w:t xml:space="preserve">D (Sürüklenme Direnci): S4, S5, S8, S13, S16, S17, S19, S22, S29, S35, S40, S44, S45, S46, S48 — Faz 4 ve 10 kritik.</w:t>
      </w:r>
    </w:p>
    <w:p>
      <w:pPr>
        <w:spacing w:before="300" w:after="100"/>
      </w:pPr>
    </w:p>
    <w:p>
      <w:pPr>
        <w:pStyle w:val="Heading1"/>
        <w:spacing w:before="300" w:after="200"/>
      </w:pPr>
      <w:r>
        <w:rPr>
          <w:rFonts w:ascii="Arial" w:cs="Arial" w:eastAsia="Arial" w:hAnsi="Arial"/>
          <w:b/>
          <w:bCs/>
          <w:color w:val="1B2B5E"/>
        </w:rPr>
        <w:t xml:space="preserve">5. Nöral Aşamaya Geçiş İçin Öneriler</w:t>
      </w:r>
    </w:p>
    <w:p>
      <w:pPr>
        <w:spacing w:before="100" w:after="100"/>
      </w:pPr>
      <w:r>
        <w:rPr>
          <w:rFonts w:ascii="Arial" w:cs="Arial" w:eastAsia="Arial" w:hAnsi="Arial"/>
          <w:color w:val="1A1A1A"/>
          <w:sz w:val="20"/>
          <w:szCs w:val="20"/>
        </w:rPr>
        <w:t xml:space="preserve">1. Öncelikli fMRI uyarıcı seti olarak 17 KRİTİK soru kullanılmalıdır (bkz. Bölüm 3).</w:t>
      </w:r>
    </w:p>
    <w:p>
      <w:pPr>
        <w:spacing w:before="100" w:after="100"/>
      </w:pPr>
      <w:r>
        <w:rPr>
          <w:rFonts w:ascii="Arial" w:cs="Arial" w:eastAsia="Arial" w:hAnsi="Arial"/>
          <w:color w:val="1A1A1A"/>
          <w:sz w:val="20"/>
          <w:szCs w:val="20"/>
        </w:rPr>
        <w:t xml:space="preserve">2. aMCC aktivasyon eşiği için S3 (motivasyon kaynağı), S8 (bilişsel darboğaz) ve S19 (çöküş biçimi) üç temel ölçüm noktası olarak belirlenmeli.</w:t>
      </w:r>
    </w:p>
    <w:p>
      <w:pPr>
        <w:spacing w:before="100" w:after="100"/>
      </w:pPr>
      <w:r>
        <w:rPr>
          <w:rFonts w:ascii="Arial" w:cs="Arial" w:eastAsia="Arial" w:hAnsi="Arial"/>
          <w:color w:val="1A1A1A"/>
          <w:sz w:val="20"/>
          <w:szCs w:val="20"/>
        </w:rPr>
        <w:t xml:space="preserve">3. İmplozyon/eksplosyon ayrımı (S19) — parasempatik vs. sempatik baskınlık — otonomik ölçümlerle (kalp hızı değişkenliği, deri iletkenliği) desteklenebilir.</w:t>
      </w:r>
    </w:p>
    <w:p>
      <w:pPr>
        <w:spacing w:before="100" w:after="100"/>
      </w:pPr>
      <w:r>
        <w:rPr>
          <w:rFonts w:ascii="Arial" w:cs="Arial" w:eastAsia="Arial" w:hAnsi="Arial"/>
          <w:color w:val="1A1A1A"/>
          <w:sz w:val="20"/>
          <w:szCs w:val="20"/>
        </w:rPr>
        <w:t xml:space="preserve">4. Faz 5 (Silikon Mimarisi) soruları, insan-AI karşılaştırması için kontrol koşulu olarak ayrı bir deney bloğunda uygulanmalıdır.</w:t>
      </w:r>
    </w:p>
    <w:p>
      <w:pPr>
        <w:spacing w:before="100" w:after="100"/>
      </w:pPr>
      <w:r>
        <w:rPr>
          <w:rFonts w:ascii="Arial" w:cs="Arial" w:eastAsia="Arial" w:hAnsi="Arial"/>
          <w:color w:val="1A1A1A"/>
          <w:sz w:val="20"/>
          <w:szCs w:val="20"/>
        </w:rPr>
        <w:t xml:space="preserve">5. S50 (Mimarın Aynası) en son uygulanmalı; DMN'nin maksimum öz-referansal aktivasyonu için önceki 49 sorunun yarattığı 'yorgunluk ve kırılganlık' ortamı gereklidir.</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B5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C3E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8B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2026-03-12T22:27:29.134Z</dcterms:created>
  <dcterms:modified xsi:type="dcterms:W3CDTF">2026-03-12T22:27:29.135Z</dcterms:modified>
</cp:coreProperties>
</file>

<file path=docProps/custom.xml><?xml version="1.0" encoding="utf-8"?>
<Properties xmlns="http://schemas.openxmlformats.org/officeDocument/2006/custom-properties" xmlns:vt="http://schemas.openxmlformats.org/officeDocument/2006/docPropsVTypes"/>
</file>