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3A5B" w14:textId="77777777" w:rsidR="00003849" w:rsidRDefault="00003849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Changelog: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55"/>
        <w:gridCol w:w="709"/>
        <w:gridCol w:w="7270"/>
      </w:tblGrid>
      <w:tr w:rsidR="00003849" w14:paraId="366D5AB2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AB076" w14:textId="77777777" w:rsidR="00003849" w:rsidRDefault="00003849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Date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0A55D" w14:textId="77777777" w:rsidR="00003849" w:rsidRDefault="00003849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Author</w:t>
            </w: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C6C" w14:textId="77777777" w:rsidR="00003849" w:rsidRDefault="00003849">
            <w:pPr>
              <w:snapToGrid w:val="0"/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</w:tr>
      <w:tr w:rsidR="00003849" w14:paraId="71D080F5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D21E1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2010-02-23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96597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3C2E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Separation of the client-side communication component documentation as a separate working document</w:t>
            </w:r>
          </w:p>
        </w:tc>
      </w:tr>
      <w:tr w:rsidR="00003849" w14:paraId="4F954B5C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02572" w14:textId="77777777" w:rsidR="00003849" w:rsidRDefault="00003849" w:rsidP="006D7F63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2010-02-26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97CBA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BE25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the customer's façade </w:t>
            </w:r>
          </w:p>
        </w:tc>
      </w:tr>
      <w:tr w:rsidR="00003849" w14:paraId="7CD47949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8F1EC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5BAFC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1DA0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788F30CB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3DD097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8206D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BAE8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4EE50D38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FC5C5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2F14F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15E7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62D20441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8F011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E8408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0829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4A92C9B7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A1904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E7B67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0D29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3655BB9D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159ED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3E13E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E303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6330A40B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B417E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C2EE0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38BE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03849" w14:paraId="56C2298B" w14:textId="77777777">
        <w:trPr>
          <w:trHeight w:val="281"/>
        </w:trPr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21DB9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B3958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B777" w14:textId="77777777" w:rsidR="00003849" w:rsidRDefault="00003849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</w:tbl>
    <w:p w14:paraId="71C0A71D" w14:textId="77777777" w:rsidR="00003849" w:rsidRDefault="00003849">
      <w:pPr>
        <w:pStyle w:val="Nagwek1"/>
      </w:pPr>
      <w:r>
        <w:t>Client-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component</w:t>
      </w:r>
    </w:p>
    <w:p w14:paraId="06D7F9C7" w14:textId="77777777" w:rsidR="00003849" w:rsidRDefault="00003849"/>
    <w:p w14:paraId="2695ECAF" w14:textId="77777777" w:rsidR="00003849" w:rsidRDefault="00003849">
      <w:r>
        <w:t>The SBDR client component performs all operations involving placing data in the database, modifying it and retrieving it. A detailed list of services offered by the server can be found in the document: TD_UslugiBD.doc. A list of operations available to users in: Prototyp_usecases_biezace.doc</w:t>
      </w:r>
    </w:p>
    <w:p w14:paraId="60A5C18D" w14:textId="77777777" w:rsidR="00003849" w:rsidRDefault="00003849">
      <w:r>
        <w:t>The primary place to use a communication component is a client applet. However, a wider use of the component is not ruled out.</w:t>
      </w:r>
    </w:p>
    <w:p w14:paraId="51FF1F1B" w14:textId="77777777" w:rsidR="00003849" w:rsidRDefault="00003849">
      <w:r>
        <w:t xml:space="preserve">The full source code of the communication component along with the libraries used is available in the BDR space </w:t>
      </w:r>
      <w:proofErr w:type="spellStart"/>
      <w:r>
        <w:t>svn</w:t>
      </w:r>
      <w:proofErr w:type="spellEnd"/>
      <w:r>
        <w:t xml:space="preserve"> on the assembla.com in the </w:t>
      </w:r>
      <w:proofErr w:type="spellStart"/>
      <w:r>
        <w:t>DatabaseConnection</w:t>
      </w:r>
      <w:proofErr w:type="spellEnd"/>
      <w:r>
        <w:t xml:space="preserve"> project: </w:t>
      </w:r>
      <w:hyperlink r:id="rId5" w:history="1">
        <w:r>
          <w:rPr>
            <w:rStyle w:val="Hipercze"/>
          </w:rPr>
          <w:t xml:space="preserve">https://svn2.assembla.com/svn/bdr/Aplikacje/DatabaseConnection/ </w:t>
        </w:r>
      </w:hyperlink>
      <w:hyperlink r:id="rId6" w:history="1">
        <w:r>
          <w:rPr>
            <w:rStyle w:val="Hipercze"/>
          </w:rPr>
          <w:br/>
          <w:t>in the form of the Eclipse 3.4 project</w:t>
        </w:r>
      </w:hyperlink>
      <w:r>
        <w:br/>
      </w:r>
    </w:p>
    <w:p w14:paraId="43592354" w14:textId="77777777" w:rsidR="00003849" w:rsidRDefault="00003849">
      <w:pPr>
        <w:pStyle w:val="Nagwek2"/>
      </w:pPr>
      <w:r>
        <w:t xml:space="preserve">Component </w:t>
      </w:r>
      <w:proofErr w:type="spellStart"/>
      <w:r>
        <w:t>Tasks</w:t>
      </w:r>
      <w:proofErr w:type="spellEnd"/>
    </w:p>
    <w:p w14:paraId="4DAD2328" w14:textId="77777777" w:rsidR="00003849" w:rsidRDefault="00003849">
      <w:pPr>
        <w:pStyle w:val="Tekstpodstawowy"/>
      </w:pPr>
      <w:r>
        <w:t xml:space="preserve">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component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from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network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client</w:t>
      </w:r>
      <w:proofErr w:type="spellEnd"/>
      <w:r>
        <w:t xml:space="preserve"> and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independent of the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treating</w:t>
      </w:r>
      <w:proofErr w:type="spellEnd"/>
      <w:r>
        <w:t xml:space="preserve"> the </w:t>
      </w:r>
      <w:proofErr w:type="spellStart"/>
      <w:r>
        <w:t>communication</w:t>
      </w:r>
      <w:proofErr w:type="spellEnd"/>
      <w:r>
        <w:t xml:space="preserve"> component as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performing the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connecting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data,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from the </w:t>
      </w:r>
      <w:proofErr w:type="spellStart"/>
      <w:r>
        <w:t>server</w:t>
      </w:r>
      <w:proofErr w:type="spellEnd"/>
      <w:r>
        <w:t xml:space="preserve">. </w:t>
      </w:r>
    </w:p>
    <w:p w14:paraId="062AA6FA" w14:textId="77777777" w:rsidR="00003849" w:rsidRDefault="00003849">
      <w:pPr>
        <w:pStyle w:val="Nagwek2"/>
      </w:pPr>
      <w:r>
        <w:t xml:space="preserve">Construction of the </w:t>
      </w:r>
      <w:proofErr w:type="spellStart"/>
      <w:r>
        <w:t>communication</w:t>
      </w:r>
      <w:proofErr w:type="spellEnd"/>
      <w:r>
        <w:t xml:space="preserve"> component</w:t>
      </w:r>
    </w:p>
    <w:p w14:paraId="2D547873" w14:textId="77777777" w:rsidR="00003849" w:rsidRDefault="00003849">
      <w:r>
        <w:t>The component consists of three basic packages that divide it into three main modules:</w:t>
      </w:r>
    </w:p>
    <w:p w14:paraId="1C9D8D06" w14:textId="77777777" w:rsidR="00003849" w:rsidRDefault="00003849">
      <w:r>
        <w:rPr>
          <w:b/>
          <w:bCs/>
        </w:rPr>
        <w:tab/>
        <w:t xml:space="preserve">motion.database.ws </w:t>
      </w:r>
      <w:r>
        <w:t xml:space="preserve">– contains the connection code to the services provided on the server. This module and all its submodules were generated automatically by the </w:t>
      </w:r>
      <w:proofErr w:type="spellStart"/>
      <w:r>
        <w:t>jax-ws</w:t>
      </w:r>
      <w:proofErr w:type="spellEnd"/>
      <w:r>
        <w:t xml:space="preserve"> utility. This module changes </w:t>
      </w:r>
      <w:r>
        <w:lastRenderedPageBreak/>
        <w:t xml:space="preserve">every time the form of communication is changed, when services are added, and so on. Each subpackage corresponds to one server-side Web Service. Each class represents a single service. </w:t>
      </w:r>
    </w:p>
    <w:p w14:paraId="6337F053" w14:textId="77777777" w:rsidR="00003849" w:rsidRDefault="00003849">
      <w:pPr>
        <w:pStyle w:val="Tekstpodstawowy"/>
      </w:pPr>
      <w:r>
        <w:rPr>
          <w:b/>
          <w:bCs/>
        </w:rPr>
        <w:tab/>
      </w:r>
      <w:proofErr w:type="spellStart"/>
      <w:r>
        <w:rPr>
          <w:b/>
          <w:bCs/>
        </w:rPr>
        <w:t>motion.database</w:t>
      </w:r>
      <w:proofErr w:type="spellEnd"/>
      <w:r>
        <w:rPr>
          <w:b/>
          <w:bCs/>
        </w:rPr>
        <w:t xml:space="preserve"> –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</w:t>
      </w:r>
      <w:proofErr w:type="spellStart"/>
      <w:r>
        <w:t>DatabaseConnection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to the </w:t>
      </w:r>
      <w:proofErr w:type="spellStart"/>
      <w:r>
        <w:t>server</w:t>
      </w:r>
      <w:proofErr w:type="spellEnd"/>
      <w:r>
        <w:t xml:space="preserve">.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</w:p>
    <w:p w14:paraId="740B957D" w14:textId="77777777" w:rsidR="00003849" w:rsidRDefault="00003849">
      <w:pPr>
        <w:pStyle w:val="Tekstpodstawowy"/>
      </w:pPr>
      <w:r>
        <w:rPr>
          <w:b/>
          <w:bCs/>
        </w:rPr>
        <w:tab/>
      </w:r>
      <w:proofErr w:type="spellStart"/>
      <w:r>
        <w:rPr>
          <w:b/>
          <w:bCs/>
        </w:rPr>
        <w:t>test.unit</w:t>
      </w:r>
      <w:proofErr w:type="spellEnd"/>
      <w:r>
        <w:rPr>
          <w:b/>
          <w:bCs/>
        </w:rPr>
        <w:t xml:space="preserve"> –</w:t>
      </w:r>
      <w:r>
        <w:t xml:space="preserve"> a </w:t>
      </w:r>
      <w:proofErr w:type="spellStart"/>
      <w:r>
        <w:t>testing</w:t>
      </w:r>
      <w:proofErr w:type="spellEnd"/>
      <w:r>
        <w:t xml:space="preserve"> module </w:t>
      </w:r>
      <w:proofErr w:type="spellStart"/>
      <w:r>
        <w:t>containing</w:t>
      </w:r>
      <w:proofErr w:type="spellEnd"/>
      <w:r>
        <w:t xml:space="preserve"> unit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from the </w:t>
      </w:r>
      <w:proofErr w:type="spellStart"/>
      <w:r>
        <w:t>DatabaseConnection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B72C77B" w14:textId="77777777" w:rsidR="00003849" w:rsidRDefault="00003849">
      <w:pPr>
        <w:pStyle w:val="Nagwek2"/>
      </w:pPr>
      <w:proofErr w:type="spellStart"/>
      <w:r>
        <w:t>DatabaseConnection</w:t>
      </w:r>
      <w:proofErr w:type="spellEnd"/>
      <w:r>
        <w:t xml:space="preserve"> </w:t>
      </w:r>
      <w:proofErr w:type="spellStart"/>
      <w:r>
        <w:t>Fasadow</w:t>
      </w:r>
      <w:proofErr w:type="spellEnd"/>
      <w:r>
        <w:t xml:space="preserve"> Class</w:t>
      </w:r>
    </w:p>
    <w:p w14:paraId="7D5BA940" w14:textId="77777777" w:rsidR="00003849" w:rsidRDefault="00003849">
      <w:pPr>
        <w:pStyle w:val="Tekstpodstawowy"/>
        <w:rPr>
          <w:b/>
          <w:bCs/>
          <w:i/>
          <w:iCs/>
        </w:rPr>
      </w:pPr>
      <w:r>
        <w:t xml:space="preserve">The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singleton </w:t>
      </w:r>
      <w:proofErr w:type="spellStart"/>
      <w:r>
        <w:t>pattern</w:t>
      </w:r>
      <w:proofErr w:type="spellEnd"/>
      <w:r>
        <w:t xml:space="preserve">,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the </w:t>
      </w:r>
      <w:proofErr w:type="spellStart"/>
      <w:r>
        <w:rPr>
          <w:b/>
          <w:bCs/>
          <w:i/>
          <w:iCs/>
        </w:rPr>
        <w:t>getInstance</w:t>
      </w:r>
      <w:proofErr w:type="spellEnd"/>
      <w:r>
        <w:rPr>
          <w:b/>
          <w:bCs/>
          <w:i/>
          <w:iCs/>
        </w:rPr>
        <w:t xml:space="preserve">() </w:t>
      </w:r>
      <w:proofErr w:type="spellStart"/>
      <w:r>
        <w:rPr>
          <w:b/>
          <w:bCs/>
          <w:i/>
          <w:iCs/>
        </w:rPr>
        <w:t>method</w:t>
      </w:r>
      <w:proofErr w:type="spellEnd"/>
      <w:r>
        <w:rPr>
          <w:b/>
          <w:bCs/>
          <w:i/>
          <w:iCs/>
        </w:rPr>
        <w:t>.</w:t>
      </w:r>
    </w:p>
    <w:p w14:paraId="4078E7EC" w14:textId="77777777" w:rsidR="00003849" w:rsidRDefault="00003849">
      <w:pPr>
        <w:pStyle w:val="Tekstpodstawowy"/>
      </w:pPr>
      <w:proofErr w:type="spellStart"/>
      <w:r>
        <w:t>Due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Services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stateless</w:t>
      </w:r>
      <w:proofErr w:type="spellEnd"/>
      <w:r>
        <w:t xml:space="preserve">,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and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: UNINITIALIZED and INITIALIZED.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system </w:t>
      </w:r>
      <w:proofErr w:type="spellStart"/>
      <w:r>
        <w:t>starts</w:t>
      </w:r>
      <w:proofErr w:type="spellEnd"/>
      <w:r>
        <w:t xml:space="preserve">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on the </w:t>
      </w:r>
      <w:proofErr w:type="spellStart"/>
      <w:r>
        <w:t>server</w:t>
      </w:r>
      <w:proofErr w:type="spellEnd"/>
      <w:r>
        <w:t xml:space="preserve">. The </w:t>
      </w:r>
      <w:proofErr w:type="spellStart"/>
      <w:r>
        <w:t>transition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string to the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: </w:t>
      </w:r>
      <w:proofErr w:type="spellStart"/>
      <w:r>
        <w:rPr>
          <w:b/>
          <w:bCs/>
          <w:i/>
          <w:iCs/>
        </w:rPr>
        <w:t>setWSCredentials</w:t>
      </w:r>
      <w:proofErr w:type="spellEnd"/>
      <w:r>
        <w:rPr>
          <w:b/>
          <w:bCs/>
          <w:i/>
          <w:iCs/>
        </w:rPr>
        <w:t>()</w:t>
      </w:r>
      <w:r>
        <w:t xml:space="preserve"> and </w:t>
      </w:r>
      <w:proofErr w:type="spellStart"/>
      <w:r>
        <w:rPr>
          <w:b/>
          <w:bCs/>
          <w:i/>
          <w:iCs/>
        </w:rPr>
        <w:t>setFTPSCredentials</w:t>
      </w:r>
      <w:proofErr w:type="spellEnd"/>
      <w:r>
        <w:rPr>
          <w:b/>
          <w:bCs/>
          <w:i/>
          <w:iCs/>
        </w:rPr>
        <w:t>()</w:t>
      </w:r>
      <w:r>
        <w:t xml:space="preserve">. </w:t>
      </w:r>
    </w:p>
    <w:p w14:paraId="79662352" w14:textId="77777777" w:rsidR="00003849" w:rsidRDefault="00003849">
      <w:pPr>
        <w:pStyle w:val="Tekstpodstawowy"/>
      </w:pPr>
      <w:r>
        <w:t xml:space="preserve">The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isolates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from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 in the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 xml:space="preserve">) on the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. </w:t>
      </w:r>
    </w:p>
    <w:p w14:paraId="5E65F1C8" w14:textId="77777777" w:rsidR="00003849" w:rsidRDefault="00003849">
      <w:pPr>
        <w:pStyle w:val="Tekstpodstawowy"/>
      </w:pPr>
      <w:proofErr w:type="spellStart"/>
      <w:r>
        <w:t>Isolation</w:t>
      </w:r>
      <w:proofErr w:type="spellEnd"/>
      <w:r>
        <w:t xml:space="preserve"> from the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do not </w:t>
      </w:r>
      <w:proofErr w:type="spellStart"/>
      <w:r>
        <w:t>depend</w:t>
      </w:r>
      <w:proofErr w:type="spellEnd"/>
      <w:r>
        <w:t xml:space="preserve"> on the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by the </w:t>
      </w:r>
      <w:proofErr w:type="spellStart"/>
      <w:r>
        <w:t>server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façade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</w:t>
      </w:r>
      <w:proofErr w:type="spellStart"/>
      <w:r>
        <w:rPr>
          <w:b/>
          <w:bCs/>
          <w:i/>
          <w:iCs/>
        </w:rPr>
        <w:t>motion.database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generic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</w:t>
      </w:r>
      <w:proofErr w:type="spellStart"/>
      <w:r>
        <w:t>HashMaps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Session</w:t>
      </w:r>
      <w:proofErr w:type="spellEnd"/>
      <w:r>
        <w:t xml:space="preserve"> data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server-side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Together</w:t>
      </w:r>
      <w:proofErr w:type="spellEnd"/>
      <w:r>
        <w:t xml:space="preserve"> with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rPr>
          <w:b/>
          <w:bCs/>
        </w:rPr>
        <w:t>SessionStaticAttributes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defined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of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data from the </w:t>
      </w:r>
      <w:proofErr w:type="spellStart"/>
      <w:r>
        <w:t>session</w:t>
      </w:r>
      <w:proofErr w:type="spellEnd"/>
      <w:r>
        <w:t xml:space="preserve">. The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researched</w:t>
      </w:r>
      <w:proofErr w:type="spellEnd"/>
      <w:r>
        <w:t xml:space="preserve">. The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r>
        <w:rPr>
          <w:b/>
          <w:bCs/>
          <w:i/>
          <w:iCs/>
        </w:rPr>
        <w:t xml:space="preserve">the </w:t>
      </w:r>
      <w:proofErr w:type="spellStart"/>
      <w:r>
        <w:rPr>
          <w:b/>
          <w:bCs/>
          <w:i/>
          <w:iCs/>
        </w:rPr>
        <w:t>test.unit</w:t>
      </w:r>
      <w:proofErr w:type="spellEnd"/>
      <w:r>
        <w:t xml:space="preserve"> module. </w:t>
      </w:r>
    </w:p>
    <w:p w14:paraId="07F95C34" w14:textId="77777777" w:rsidR="00003849" w:rsidRDefault="00003849">
      <w:pPr>
        <w:pStyle w:val="Nagwek3"/>
      </w:pPr>
      <w:proofErr w:type="spellStart"/>
      <w:r>
        <w:t>Authorization</w:t>
      </w:r>
      <w:proofErr w:type="spellEnd"/>
      <w:r>
        <w:t xml:space="preserve"> of the </w:t>
      </w:r>
      <w:proofErr w:type="spellStart"/>
      <w:r>
        <w:t>connection</w:t>
      </w:r>
      <w:proofErr w:type="spellEnd"/>
      <w:r>
        <w:t xml:space="preserve"> to the </w:t>
      </w:r>
      <w:proofErr w:type="spellStart"/>
      <w:r>
        <w:t>server</w:t>
      </w:r>
      <w:proofErr w:type="spellEnd"/>
    </w:p>
    <w:p w14:paraId="0452E281" w14:textId="77777777" w:rsidR="00003849" w:rsidRDefault="00003849">
      <w:pPr>
        <w:pStyle w:val="Tekstpodstawowy"/>
      </w:pPr>
      <w:r>
        <w:t xml:space="preserve">The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with the </w:t>
      </w:r>
      <w:proofErr w:type="spellStart"/>
      <w:r>
        <w:t>server</w:t>
      </w:r>
      <w:proofErr w:type="spellEnd"/>
      <w:r>
        <w:t xml:space="preserve">: Web Services and FTPS.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on the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authorization</w:t>
      </w:r>
      <w:proofErr w:type="spellEnd"/>
      <w:r>
        <w:t xml:space="preserve">.  </w:t>
      </w:r>
    </w:p>
    <w:p w14:paraId="7AC81765" w14:textId="77777777" w:rsidR="00003849" w:rsidRDefault="00003849">
      <w:pPr>
        <w:pStyle w:val="Tekstpodstawowy"/>
      </w:pPr>
      <w:r>
        <w:t xml:space="preserve">The </w:t>
      </w:r>
      <w:proofErr w:type="spellStart"/>
      <w:r>
        <w:t>façade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69368828" w14:textId="77777777" w:rsidR="00003849" w:rsidRDefault="00003849">
      <w:pPr>
        <w:pStyle w:val="Nagwek3"/>
      </w:pPr>
      <w:proofErr w:type="spellStart"/>
      <w:r>
        <w:t>Invoking</w:t>
      </w:r>
      <w:proofErr w:type="spellEnd"/>
      <w:r>
        <w:t xml:space="preserve"> Server Services</w:t>
      </w:r>
    </w:p>
    <w:p w14:paraId="6C125A25" w14:textId="77777777" w:rsidR="00003849" w:rsidRDefault="00003849">
      <w:r>
        <w:t xml:space="preserve">Calling services on the server is done by calling the methods of the </w:t>
      </w:r>
      <w:proofErr w:type="spellStart"/>
      <w:r>
        <w:t>DatabaseConnection</w:t>
      </w:r>
      <w:proofErr w:type="spellEnd"/>
      <w:r>
        <w:t xml:space="preserve"> façade class once. These methods hide all operations performed in the process of uploading data to the server, </w:t>
      </w:r>
      <w:r>
        <w:lastRenderedPageBreak/>
        <w:t xml:space="preserve">including the process of uploading or downloading files. If a method exits without throwing an exception, the operation is considered successful. </w:t>
      </w:r>
    </w:p>
    <w:sectPr w:rsidR="0000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0131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003849"/>
    <w:rsid w:val="00181070"/>
    <w:rsid w:val="001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03849"/>
    <w:pPr>
      <w:keepNext/>
      <w:numPr>
        <w:numId w:val="1"/>
      </w:numPr>
      <w:suppressAutoHyphens/>
      <w:spacing w:before="240" w:after="60" w:line="276" w:lineRule="auto"/>
      <w:outlineLvl w:val="0"/>
    </w:pPr>
    <w:rPr>
      <w:rFonts w:ascii="Cambria" w:eastAsia="Times New Roman" w:hAnsi="Cambria" w:cs="Calibri"/>
      <w:b/>
      <w:bCs/>
      <w:kern w:val="1"/>
      <w:sz w:val="32"/>
      <w:szCs w:val="32"/>
      <w:lang w:val="pl-PL" w:eastAsia="ar-SA"/>
    </w:rPr>
  </w:style>
  <w:style w:type="paragraph" w:styleId="Nagwek2">
    <w:name w:val="heading 2"/>
    <w:basedOn w:val="Normalny"/>
    <w:next w:val="Tekstpodstawowy"/>
    <w:link w:val="Nagwek2Znak"/>
    <w:qFormat/>
    <w:rsid w:val="00003849"/>
    <w:pPr>
      <w:keepNext/>
      <w:numPr>
        <w:ilvl w:val="1"/>
        <w:numId w:val="1"/>
      </w:numPr>
      <w:suppressAutoHyphens/>
      <w:spacing w:before="240" w:after="120" w:line="276" w:lineRule="auto"/>
      <w:outlineLvl w:val="1"/>
    </w:pPr>
    <w:rPr>
      <w:rFonts w:ascii="Arial" w:eastAsia="DejaVu Sans" w:hAnsi="Arial" w:cs="DejaVu Sans"/>
      <w:b/>
      <w:bCs/>
      <w:i/>
      <w:iCs/>
      <w:sz w:val="28"/>
      <w:szCs w:val="28"/>
      <w:lang w:val="pl-PL" w:eastAsia="ar-SA"/>
    </w:rPr>
  </w:style>
  <w:style w:type="paragraph" w:styleId="Nagwek3">
    <w:name w:val="heading 3"/>
    <w:basedOn w:val="Normalny"/>
    <w:next w:val="Tekstpodstawowy"/>
    <w:link w:val="Nagwek3Znak"/>
    <w:qFormat/>
    <w:rsid w:val="00003849"/>
    <w:pPr>
      <w:keepNext/>
      <w:numPr>
        <w:ilvl w:val="2"/>
        <w:numId w:val="1"/>
      </w:numPr>
      <w:suppressAutoHyphens/>
      <w:spacing w:before="240" w:after="120" w:line="276" w:lineRule="auto"/>
      <w:outlineLvl w:val="2"/>
    </w:pPr>
    <w:rPr>
      <w:rFonts w:ascii="Arial" w:eastAsia="DejaVu Sans" w:hAnsi="Arial" w:cs="DejaVu Sans"/>
      <w:b/>
      <w:bCs/>
      <w:sz w:val="28"/>
      <w:szCs w:val="28"/>
      <w:lang w:val="pl-PL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03849"/>
    <w:rPr>
      <w:rFonts w:ascii="Cambria" w:eastAsia="Times New Roman" w:hAnsi="Cambria" w:cs="Calibri"/>
      <w:b/>
      <w:bCs/>
      <w:kern w:val="1"/>
      <w:sz w:val="32"/>
      <w:szCs w:val="32"/>
      <w:lang w:val="pl-PL" w:eastAsia="ar-SA"/>
    </w:rPr>
  </w:style>
  <w:style w:type="character" w:customStyle="1" w:styleId="Nagwek2Znak">
    <w:name w:val="Nagłówek 2 Znak"/>
    <w:basedOn w:val="Domylnaczcionkaakapitu"/>
    <w:link w:val="Nagwek2"/>
    <w:rsid w:val="00003849"/>
    <w:rPr>
      <w:rFonts w:ascii="Arial" w:eastAsia="DejaVu Sans" w:hAnsi="Arial" w:cs="DejaVu Sans"/>
      <w:b/>
      <w:bCs/>
      <w:i/>
      <w:iCs/>
      <w:sz w:val="28"/>
      <w:szCs w:val="28"/>
      <w:lang w:val="pl-PL" w:eastAsia="ar-SA"/>
    </w:rPr>
  </w:style>
  <w:style w:type="character" w:customStyle="1" w:styleId="Nagwek3Znak">
    <w:name w:val="Nagłówek 3 Znak"/>
    <w:basedOn w:val="Domylnaczcionkaakapitu"/>
    <w:link w:val="Nagwek3"/>
    <w:rsid w:val="00003849"/>
    <w:rPr>
      <w:rFonts w:ascii="Arial" w:eastAsia="DejaVu Sans" w:hAnsi="Arial" w:cs="DejaVu Sans"/>
      <w:b/>
      <w:bCs/>
      <w:sz w:val="28"/>
      <w:szCs w:val="28"/>
      <w:lang w:val="pl-PL" w:eastAsia="ar-SA"/>
    </w:rPr>
  </w:style>
  <w:style w:type="character" w:styleId="Hipercze">
    <w:name w:val="Hyperlink"/>
    <w:semiHidden/>
    <w:rsid w:val="00003849"/>
    <w:rPr>
      <w:color w:val="000080"/>
      <w:u w:val="single"/>
    </w:rPr>
  </w:style>
  <w:style w:type="paragraph" w:styleId="Tekstpodstawowy">
    <w:name w:val="Body Text"/>
    <w:basedOn w:val="Normalny"/>
    <w:link w:val="TekstpodstawowyZnak"/>
    <w:semiHidden/>
    <w:rsid w:val="00003849"/>
    <w:pPr>
      <w:suppressAutoHyphens/>
      <w:spacing w:after="120" w:line="276" w:lineRule="auto"/>
    </w:pPr>
    <w:rPr>
      <w:rFonts w:ascii="Calibri" w:eastAsia="Calibri" w:hAnsi="Calibri" w:cs="Calibri"/>
      <w:lang w:val="pl-PL"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03849"/>
    <w:rPr>
      <w:rFonts w:ascii="Calibri" w:eastAsia="Calibri" w:hAnsi="Calibri" w:cs="Calibri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2.assembla.com/svn/bdr/Aplikacje/DatabaseConnection/" TargetMode="External"/><Relationship Id="rId5" Type="http://schemas.openxmlformats.org/officeDocument/2006/relationships/hyperlink" Target="https://svn2.assembla.com/svn/bdr/Aplikacje/DatabaseConn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Marek Kulbacki</cp:lastModifiedBy>
  <cp:revision>1</cp:revision>
  <dcterms:created xsi:type="dcterms:W3CDTF">2017-09-13T21:10:00Z</dcterms:created>
  <dcterms:modified xsi:type="dcterms:W3CDTF">2024-03-24T14:32:00Z</dcterms:modified>
</cp:coreProperties>
</file>