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F7D8" w14:textId="1FE77D6A" w:rsidR="00142B82" w:rsidRPr="009D5A8E" w:rsidRDefault="00142B82" w:rsidP="009D5A8E">
      <w:pPr>
        <w:pStyle w:val="Title"/>
      </w:pPr>
      <w:r w:rsidRPr="009D5A8E">
        <w:t xml:space="preserve">Incident Response </w:t>
      </w:r>
      <w:r w:rsidR="009D5A8E">
        <w:t>and</w:t>
      </w:r>
      <w:r w:rsidRPr="009D5A8E">
        <w:t xml:space="preserve"> Preparedness Template</w:t>
      </w:r>
    </w:p>
    <w:p w14:paraId="29E89421" w14:textId="0306F23E" w:rsidR="005D0E5D" w:rsidRDefault="00975A74" w:rsidP="7753D9AC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To handle incidents, organizations follow incident response playbooks contain</w:t>
      </w:r>
      <w:r w:rsidR="003A74B7">
        <w:rPr>
          <w:rFonts w:cs="Calibri"/>
          <w:color w:val="000000"/>
          <w:shd w:val="clear" w:color="auto" w:fill="FFFFFF"/>
        </w:rPr>
        <w:t>ing</w:t>
      </w:r>
      <w:r>
        <w:rPr>
          <w:rFonts w:cs="Calibri"/>
          <w:color w:val="000000"/>
          <w:shd w:val="clear" w:color="auto" w:fill="FFFFFF"/>
        </w:rPr>
        <w:t xml:space="preserve"> policies and procedures for each step of response. These playbooks also cover incident preparation and prevention, </w:t>
      </w:r>
      <w:r w:rsidR="009E62E9">
        <w:rPr>
          <w:rFonts w:cs="Calibri"/>
          <w:color w:val="000000"/>
          <w:shd w:val="clear" w:color="auto" w:fill="FFFFFF"/>
        </w:rPr>
        <w:t>including</w:t>
      </w:r>
      <w:r>
        <w:rPr>
          <w:rFonts w:cs="Calibri"/>
          <w:color w:val="000000"/>
          <w:shd w:val="clear" w:color="auto" w:fill="FFFFFF"/>
        </w:rPr>
        <w:t xml:space="preserve"> cybersecurity training and auditing.</w:t>
      </w:r>
    </w:p>
    <w:p w14:paraId="3735A4F7" w14:textId="19184A30" w:rsidR="00142B82" w:rsidRPr="008424DE" w:rsidRDefault="00975A74" w:rsidP="7753D9AC">
      <w:pPr>
        <w:rPr>
          <w:rFonts w:ascii="Segoe UI" w:eastAsia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Consider </w:t>
      </w:r>
      <w:r w:rsidR="009E62E9">
        <w:rPr>
          <w:rFonts w:cs="Calibri"/>
          <w:color w:val="000000"/>
          <w:shd w:val="clear" w:color="auto" w:fill="FFFFFF"/>
        </w:rPr>
        <w:t xml:space="preserve">using </w:t>
      </w:r>
      <w:r>
        <w:rPr>
          <w:rFonts w:cs="Calibri"/>
          <w:color w:val="000000"/>
          <w:shd w:val="clear" w:color="auto" w:fill="FFFFFF"/>
        </w:rPr>
        <w:t>this template a</w:t>
      </w:r>
      <w:r w:rsidR="009E62E9">
        <w:rPr>
          <w:rFonts w:cs="Calibri"/>
          <w:color w:val="000000"/>
          <w:shd w:val="clear" w:color="auto" w:fill="FFFFFF"/>
        </w:rPr>
        <w:t>s</w:t>
      </w:r>
      <w:r>
        <w:rPr>
          <w:rFonts w:cs="Calibri"/>
          <w:color w:val="000000"/>
          <w:shd w:val="clear" w:color="auto" w:fill="FFFFFF"/>
        </w:rPr>
        <w:t xml:space="preserve"> part of your incident response playbook. </w:t>
      </w:r>
      <w:r w:rsidR="009E62E9">
        <w:rPr>
          <w:rFonts w:cs="Calibri"/>
          <w:color w:val="000000"/>
          <w:shd w:val="clear" w:color="auto" w:fill="FFFFFF"/>
        </w:rPr>
        <w:t xml:space="preserve">With this template, you can </w:t>
      </w:r>
      <w:r w:rsidR="70CBCBF0" w:rsidRPr="008424DE">
        <w:rPr>
          <w:rFonts w:cs="Calibri"/>
          <w:color w:val="000000"/>
          <w:shd w:val="clear" w:color="auto" w:fill="FFFFFF"/>
        </w:rPr>
        <w:t>document</w:t>
      </w:r>
      <w:r w:rsidR="70CBCBF0" w:rsidRPr="00795E8D">
        <w:rPr>
          <w:rFonts w:cs="Calibri"/>
          <w:color w:val="D13438"/>
          <w:shd w:val="clear" w:color="auto" w:fill="FFFFFF"/>
        </w:rPr>
        <w:t xml:space="preserve"> </w:t>
      </w:r>
      <w:r w:rsidR="002515E8">
        <w:rPr>
          <w:rFonts w:cs="Calibri"/>
          <w:color w:val="000000"/>
          <w:shd w:val="clear" w:color="auto" w:fill="FFFFFF"/>
        </w:rPr>
        <w:t>your</w:t>
      </w:r>
      <w:r w:rsidR="70CBCBF0" w:rsidRPr="008424DE">
        <w:rPr>
          <w:rFonts w:cs="Calibri"/>
          <w:color w:val="000000"/>
          <w:shd w:val="clear" w:color="auto" w:fill="FFFFFF"/>
        </w:rPr>
        <w:t xml:space="preserve"> incident </w:t>
      </w:r>
      <w:r w:rsidR="002515E8">
        <w:rPr>
          <w:rFonts w:cs="Calibri"/>
          <w:color w:val="000000"/>
          <w:shd w:val="clear" w:color="auto" w:fill="FFFFFF"/>
        </w:rPr>
        <w:t xml:space="preserve">response </w:t>
      </w:r>
      <w:r w:rsidR="70CBCBF0" w:rsidRPr="008424DE">
        <w:rPr>
          <w:rFonts w:cs="Calibri"/>
          <w:color w:val="000000"/>
          <w:shd w:val="clear" w:color="auto" w:fill="FFFFFF"/>
        </w:rPr>
        <w:t>and prepar</w:t>
      </w:r>
      <w:r w:rsidR="002515E8">
        <w:rPr>
          <w:rFonts w:cs="Calibri"/>
          <w:color w:val="000000"/>
          <w:shd w:val="clear" w:color="auto" w:fill="FFFFFF"/>
        </w:rPr>
        <w:t>e</w:t>
      </w:r>
      <w:r w:rsidR="70CBCBF0" w:rsidRPr="008424DE">
        <w:rPr>
          <w:rFonts w:cs="Calibri"/>
          <w:color w:val="000000"/>
          <w:shd w:val="clear" w:color="auto" w:fill="FFFFFF"/>
        </w:rPr>
        <w:t xml:space="preserve"> for future incidents. </w:t>
      </w:r>
      <w:r w:rsidR="009E62E9">
        <w:rPr>
          <w:rFonts w:cs="Calibri"/>
          <w:color w:val="000000"/>
          <w:shd w:val="clear" w:color="auto" w:fill="FFFFFF"/>
        </w:rPr>
        <w:t>You can also edit each section to fit the needs of your organization. Note that y</w:t>
      </w:r>
      <w:r w:rsidR="70CBCBF0" w:rsidRPr="008424DE">
        <w:rPr>
          <w:rFonts w:cs="Calibri"/>
          <w:color w:val="000000"/>
          <w:shd w:val="clear" w:color="auto" w:fill="FFFFFF"/>
        </w:rPr>
        <w:t xml:space="preserve">our organization may have additional forms or reports </w:t>
      </w:r>
      <w:r w:rsidR="009E62E9">
        <w:rPr>
          <w:rFonts w:cs="Calibri"/>
          <w:color w:val="000000"/>
          <w:shd w:val="clear" w:color="auto" w:fill="FFFFFF"/>
        </w:rPr>
        <w:t>that you must</w:t>
      </w:r>
      <w:r w:rsidR="70CBCBF0" w:rsidRPr="008424DE">
        <w:rPr>
          <w:rFonts w:cs="Calibri"/>
          <w:color w:val="000000"/>
          <w:shd w:val="clear" w:color="auto" w:fill="FFFFFF"/>
        </w:rPr>
        <w:t xml:space="preserve"> complete.</w:t>
      </w:r>
      <w:r w:rsidR="007520DD">
        <w:rPr>
          <w:rFonts w:cs="Calibri"/>
          <w:color w:val="000000"/>
          <w:shd w:val="clear" w:color="auto" w:fill="FFFFFF"/>
        </w:rPr>
        <w:t xml:space="preserve"> Also note that your organization’s </w:t>
      </w:r>
      <w:r w:rsidR="007520DD" w:rsidRPr="007520DD">
        <w:rPr>
          <w:rFonts w:cs="Calibri"/>
          <w:color w:val="000000"/>
          <w:shd w:val="clear" w:color="auto" w:fill="FFFFFF"/>
        </w:rPr>
        <w:t>incident response playbook should indicate the person responsible for updating and maintaining incident documentation.</w:t>
      </w:r>
    </w:p>
    <w:p w14:paraId="3E63A4A1" w14:textId="5EA84397" w:rsidR="009D5A8E" w:rsidRPr="009D5A8E" w:rsidRDefault="009D5A8E" w:rsidP="009D5A8E">
      <w:pPr>
        <w:pStyle w:val="Heading1"/>
      </w:pPr>
      <w:r w:rsidRPr="009D5A8E">
        <w:t>Incident Response Teams and Responsibilities</w:t>
      </w:r>
    </w:p>
    <w:p w14:paraId="200FF10E" w14:textId="193C9606" w:rsidR="00D83880" w:rsidRPr="00894870" w:rsidRDefault="00A748C9">
      <w:pPr>
        <w:rPr>
          <w:b/>
        </w:rPr>
      </w:pPr>
      <w:r w:rsidRPr="009D5A8E">
        <w:rPr>
          <w:rFonts w:cs="Calibri"/>
          <w:shd w:val="clear" w:color="auto" w:fill="FFFFFF"/>
        </w:rPr>
        <w:t xml:space="preserve">In the Team column, list the person to contact on each team if an incident occurs. This person </w:t>
      </w:r>
      <w:r w:rsidR="003A74B7">
        <w:rPr>
          <w:rFonts w:cs="Calibri"/>
          <w:shd w:val="clear" w:color="auto" w:fill="FFFFFF"/>
        </w:rPr>
        <w:t>ensures</w:t>
      </w:r>
      <w:r w:rsidRPr="009D5A8E">
        <w:rPr>
          <w:rFonts w:cs="Calibri"/>
          <w:color w:val="000000"/>
          <w:shd w:val="clear" w:color="auto" w:fill="FFFFFF"/>
        </w:rPr>
        <w:t xml:space="preserve"> that the team fulfills its responsibilities toward </w:t>
      </w:r>
      <w:r w:rsidR="003A74B7">
        <w:rPr>
          <w:rFonts w:cs="Calibri"/>
          <w:color w:val="000000"/>
          <w:shd w:val="clear" w:color="auto" w:fill="FFFFFF"/>
        </w:rPr>
        <w:t xml:space="preserve">the </w:t>
      </w:r>
      <w:r w:rsidRPr="009D5A8E">
        <w:rPr>
          <w:rFonts w:cs="Calibri"/>
          <w:color w:val="000000"/>
          <w:shd w:val="clear" w:color="auto" w:fill="FFFFFF"/>
        </w:rPr>
        <w:t>incident</w:t>
      </w:r>
      <w:r w:rsidR="00894870" w:rsidRPr="009D5A8E">
        <w:rPr>
          <w:rFonts w:cs="Calibri"/>
          <w:color w:val="000000"/>
          <w:shd w:val="clear" w:color="auto" w:fill="FFFFFF"/>
        </w:rPr>
        <w:t xml:space="preserve">. </w:t>
      </w:r>
      <w:r w:rsidR="006C2442">
        <w:rPr>
          <w:rFonts w:cs="Calibri"/>
          <w:color w:val="000000"/>
          <w:shd w:val="clear" w:color="auto" w:fill="FFFFFF"/>
        </w:rPr>
        <w:t xml:space="preserve">Examples of </w:t>
      </w:r>
      <w:r w:rsidR="00E27A14">
        <w:t>t</w:t>
      </w:r>
      <w:r w:rsidR="00894870" w:rsidRPr="009D5A8E">
        <w:t>eam responsibilities are listed in th</w:t>
      </w:r>
      <w:r w:rsidR="006C2442">
        <w:t>is</w:t>
      </w:r>
      <w:r w:rsidR="00894870" w:rsidRPr="009D5A8E">
        <w:t xml:space="preserve"> </w:t>
      </w:r>
      <w:r w:rsidR="006C2442">
        <w:t>table</w:t>
      </w:r>
      <w:r w:rsidR="00894870" w:rsidRPr="009D5A8E">
        <w:t>.</w:t>
      </w:r>
    </w:p>
    <w:tbl>
      <w:tblPr>
        <w:tblStyle w:val="TableGrid"/>
        <w:tblW w:w="12223" w:type="dxa"/>
        <w:tblLook w:val="04A0" w:firstRow="1" w:lastRow="0" w:firstColumn="1" w:lastColumn="0" w:noHBand="0" w:noVBand="1"/>
      </w:tblPr>
      <w:tblGrid>
        <w:gridCol w:w="3583"/>
        <w:gridCol w:w="8640"/>
      </w:tblGrid>
      <w:tr w:rsidR="00ED0229" w:rsidRPr="00202513" w14:paraId="564AA713" w14:textId="77777777" w:rsidTr="009E62E9">
        <w:trPr>
          <w:trHeight w:val="341"/>
        </w:trPr>
        <w:tc>
          <w:tcPr>
            <w:tcW w:w="3583" w:type="dxa"/>
            <w:shd w:val="clear" w:color="auto" w:fill="0F62FE"/>
            <w:noWrap/>
            <w:vAlign w:val="center"/>
            <w:hideMark/>
          </w:tcPr>
          <w:p w14:paraId="1E9F7A7F" w14:textId="76617DBA" w:rsidR="00D83880" w:rsidRPr="001D0EB6" w:rsidRDefault="00D83880" w:rsidP="003E6B36">
            <w:pPr>
              <w:pStyle w:val="TableHeading1"/>
            </w:pPr>
            <w:r w:rsidRPr="001D0EB6">
              <w:t>Team</w:t>
            </w:r>
          </w:p>
        </w:tc>
        <w:tc>
          <w:tcPr>
            <w:tcW w:w="8640" w:type="dxa"/>
            <w:shd w:val="clear" w:color="auto" w:fill="0F62FE"/>
            <w:noWrap/>
            <w:vAlign w:val="center"/>
            <w:hideMark/>
          </w:tcPr>
          <w:p w14:paraId="672B1225" w14:textId="4B3A84E9" w:rsidR="00D83880" w:rsidRPr="001D0EB6" w:rsidRDefault="00D83880" w:rsidP="003E6B36">
            <w:pPr>
              <w:pStyle w:val="TableHeading1"/>
            </w:pPr>
            <w:r w:rsidRPr="001D0EB6">
              <w:t>Responsibilit</w:t>
            </w:r>
            <w:r w:rsidR="00B86335" w:rsidRPr="001D0EB6">
              <w:t>ies</w:t>
            </w:r>
          </w:p>
        </w:tc>
      </w:tr>
      <w:tr w:rsidR="00633D12" w:rsidRPr="00D83880" w14:paraId="69A1E796" w14:textId="77777777" w:rsidTr="009E62E9">
        <w:trPr>
          <w:trHeight w:val="316"/>
        </w:trPr>
        <w:tc>
          <w:tcPr>
            <w:tcW w:w="3583" w:type="dxa"/>
            <w:shd w:val="clear" w:color="auto" w:fill="DEFBE6"/>
            <w:noWrap/>
            <w:hideMark/>
          </w:tcPr>
          <w:p w14:paraId="04A905DA" w14:textId="77777777" w:rsidR="00207AFC" w:rsidRPr="003E6B36" w:rsidRDefault="00207AFC" w:rsidP="003E6B36">
            <w:pPr>
              <w:pStyle w:val="TableHeading2"/>
            </w:pPr>
            <w:r w:rsidRPr="003E6B36">
              <w:t>Management</w:t>
            </w:r>
          </w:p>
        </w:tc>
        <w:tc>
          <w:tcPr>
            <w:tcW w:w="8640" w:type="dxa"/>
            <w:shd w:val="clear" w:color="auto" w:fill="DEFBE6"/>
            <w:hideMark/>
          </w:tcPr>
          <w:p w14:paraId="635225C7" w14:textId="1C6D4614" w:rsidR="00207AFC" w:rsidRPr="00D83880" w:rsidRDefault="00343CCD" w:rsidP="003E6B36">
            <w:pPr>
              <w:pStyle w:val="TableHeading2"/>
            </w:pPr>
            <w:r w:rsidRPr="773EFC1D">
              <w:t>Compliance</w:t>
            </w:r>
          </w:p>
        </w:tc>
      </w:tr>
      <w:tr w:rsidR="006C2442" w:rsidRPr="00D83880" w14:paraId="220C7365" w14:textId="77777777" w:rsidTr="009E62E9">
        <w:trPr>
          <w:trHeight w:val="317"/>
        </w:trPr>
        <w:tc>
          <w:tcPr>
            <w:tcW w:w="3583" w:type="dxa"/>
            <w:vMerge w:val="restart"/>
            <w:noWrap/>
            <w:hideMark/>
          </w:tcPr>
          <w:p w14:paraId="342A5D17" w14:textId="6989FE20" w:rsidR="002E2F96" w:rsidRPr="009E62E9" w:rsidRDefault="006C2442" w:rsidP="009E62E9">
            <w:pPr>
              <w:pStyle w:val="TableDataCell"/>
            </w:pPr>
            <w:r w:rsidRPr="009E62E9">
              <w:t>Contact name</w:t>
            </w:r>
            <w:r w:rsidR="002E2F96" w:rsidRPr="009E62E9">
              <w:t>:</w:t>
            </w:r>
          </w:p>
          <w:p w14:paraId="1F2E1072" w14:textId="6DE6EF95" w:rsidR="002E2F96" w:rsidRPr="009E62E9" w:rsidRDefault="002E2F96" w:rsidP="009E62E9">
            <w:pPr>
              <w:pStyle w:val="TableDataCell"/>
            </w:pPr>
            <w:r w:rsidRPr="009E62E9">
              <w:t>P</w:t>
            </w:r>
            <w:r w:rsidR="006C2442" w:rsidRPr="009E62E9">
              <w:t>hone</w:t>
            </w:r>
            <w:r w:rsidRPr="009E62E9">
              <w:t>:</w:t>
            </w:r>
          </w:p>
          <w:p w14:paraId="033E5BA8" w14:textId="5D675D22" w:rsidR="006C2442" w:rsidRPr="009E62E9" w:rsidRDefault="002E2F96" w:rsidP="009E62E9">
            <w:pPr>
              <w:pStyle w:val="TableDataCell"/>
            </w:pPr>
            <w:r w:rsidRPr="009E62E9">
              <w:t>E</w:t>
            </w:r>
            <w:r w:rsidR="006C2442" w:rsidRPr="009E62E9">
              <w:t>mail</w:t>
            </w:r>
            <w:r w:rsidRPr="009E62E9">
              <w:t>:</w:t>
            </w:r>
          </w:p>
        </w:tc>
        <w:tc>
          <w:tcPr>
            <w:tcW w:w="8640" w:type="dxa"/>
            <w:hideMark/>
          </w:tcPr>
          <w:p w14:paraId="0A4F00AB" w14:textId="10DDC893" w:rsidR="006C2442" w:rsidRPr="00D83880" w:rsidRDefault="006C2442" w:rsidP="009E62E9">
            <w:pPr>
              <w:pStyle w:val="TableDataCell"/>
            </w:pPr>
            <w:r>
              <w:t>Ensures that all members are aware of the organization’s security policies</w:t>
            </w:r>
          </w:p>
        </w:tc>
      </w:tr>
      <w:tr w:rsidR="006C2442" w:rsidRPr="00D83880" w14:paraId="17DD8AF0" w14:textId="77777777" w:rsidTr="009E62E9">
        <w:trPr>
          <w:trHeight w:val="317"/>
        </w:trPr>
        <w:tc>
          <w:tcPr>
            <w:tcW w:w="3583" w:type="dxa"/>
            <w:vMerge/>
            <w:hideMark/>
          </w:tcPr>
          <w:p w14:paraId="52B3A4BC" w14:textId="44020AAD" w:rsidR="006C2442" w:rsidRPr="00D83880" w:rsidRDefault="006C2442" w:rsidP="00A66A0F"/>
        </w:tc>
        <w:tc>
          <w:tcPr>
            <w:tcW w:w="8640" w:type="dxa"/>
            <w:vAlign w:val="center"/>
            <w:hideMark/>
          </w:tcPr>
          <w:p w14:paraId="50C39F3B" w14:textId="13D01F4E" w:rsidR="006C2442" w:rsidRPr="00D83880" w:rsidRDefault="006C2442" w:rsidP="009E62E9">
            <w:pPr>
              <w:spacing w:after="240" w:line="259" w:lineRule="auto"/>
            </w:pPr>
            <w:r>
              <w:t>Confirms that all incident response team members know whom to contact if an incident occurs</w:t>
            </w:r>
          </w:p>
        </w:tc>
      </w:tr>
      <w:tr w:rsidR="006C2442" w:rsidRPr="00D83880" w14:paraId="45A38D78" w14:textId="77777777" w:rsidTr="009E62E9">
        <w:trPr>
          <w:trHeight w:val="317"/>
        </w:trPr>
        <w:tc>
          <w:tcPr>
            <w:tcW w:w="3583" w:type="dxa"/>
            <w:vMerge/>
            <w:hideMark/>
          </w:tcPr>
          <w:p w14:paraId="2927E05F" w14:textId="1C0055C0" w:rsidR="006C2442" w:rsidRPr="00D83880" w:rsidRDefault="006C2442" w:rsidP="00A66A0F"/>
        </w:tc>
        <w:tc>
          <w:tcPr>
            <w:tcW w:w="8640" w:type="dxa"/>
            <w:hideMark/>
          </w:tcPr>
          <w:p w14:paraId="79D7656A" w14:textId="2E4ED76A" w:rsidR="006C2442" w:rsidRPr="00D83880" w:rsidRDefault="006C2442" w:rsidP="009E62E9">
            <w:pPr>
              <w:spacing w:after="240" w:line="259" w:lineRule="auto"/>
            </w:pPr>
            <w:r>
              <w:t>Verifies that all incident responders have access to journals and access to incident response toolkits to complete all parts of the response</w:t>
            </w:r>
          </w:p>
        </w:tc>
      </w:tr>
      <w:tr w:rsidR="006C2442" w:rsidRPr="00D83880" w14:paraId="6F01ACD2" w14:textId="77777777" w:rsidTr="002B69E0">
        <w:trPr>
          <w:trHeight w:val="1008"/>
        </w:trPr>
        <w:tc>
          <w:tcPr>
            <w:tcW w:w="3583" w:type="dxa"/>
            <w:vMerge/>
            <w:noWrap/>
            <w:hideMark/>
          </w:tcPr>
          <w:p w14:paraId="2E771421" w14:textId="2A1FB6F7" w:rsidR="006C2442" w:rsidRPr="00D83880" w:rsidRDefault="006C2442"/>
        </w:tc>
        <w:tc>
          <w:tcPr>
            <w:tcW w:w="8640" w:type="dxa"/>
            <w:hideMark/>
          </w:tcPr>
          <w:p w14:paraId="294C002B" w14:textId="51B13E27" w:rsidR="006C2442" w:rsidRPr="00D83880" w:rsidRDefault="006C2442" w:rsidP="009E62E9">
            <w:pPr>
              <w:spacing w:after="240" w:line="259" w:lineRule="auto"/>
            </w:pPr>
            <w:r>
              <w:t>Ensures that all members regularly participate in drills to practice the incident response process and improve proficiency</w:t>
            </w:r>
          </w:p>
        </w:tc>
      </w:tr>
      <w:tr w:rsidR="00056531" w:rsidRPr="00D83880" w14:paraId="4BDA06ED" w14:textId="77777777" w:rsidTr="009E62E9">
        <w:trPr>
          <w:trHeight w:val="316"/>
        </w:trPr>
        <w:tc>
          <w:tcPr>
            <w:tcW w:w="3583" w:type="dxa"/>
            <w:shd w:val="clear" w:color="auto" w:fill="DEFBE6"/>
            <w:noWrap/>
            <w:hideMark/>
          </w:tcPr>
          <w:p w14:paraId="2E4FF3AB" w14:textId="77777777" w:rsidR="00D83880" w:rsidRPr="00D83880" w:rsidRDefault="00D83880" w:rsidP="003E6B36">
            <w:pPr>
              <w:pStyle w:val="TableHeading2"/>
            </w:pPr>
            <w:r w:rsidRPr="00D83880">
              <w:lastRenderedPageBreak/>
              <w:t>Information Assurance</w:t>
            </w:r>
          </w:p>
        </w:tc>
        <w:tc>
          <w:tcPr>
            <w:tcW w:w="8640" w:type="dxa"/>
            <w:shd w:val="clear" w:color="auto" w:fill="DEFBE6"/>
            <w:noWrap/>
            <w:hideMark/>
          </w:tcPr>
          <w:p w14:paraId="4C43B8DE" w14:textId="77777777" w:rsidR="00D83880" w:rsidRPr="00D83880" w:rsidRDefault="00D83880" w:rsidP="003E6B36">
            <w:pPr>
              <w:pStyle w:val="TableHeading2"/>
            </w:pPr>
            <w:r w:rsidRPr="00D83880">
              <w:t>Compliance</w:t>
            </w:r>
          </w:p>
        </w:tc>
      </w:tr>
      <w:tr w:rsidR="00056531" w:rsidRPr="00D83880" w14:paraId="471AF9F1" w14:textId="77777777" w:rsidTr="009E62E9">
        <w:trPr>
          <w:trHeight w:val="317"/>
        </w:trPr>
        <w:tc>
          <w:tcPr>
            <w:tcW w:w="3583" w:type="dxa"/>
            <w:noWrap/>
            <w:hideMark/>
          </w:tcPr>
          <w:p w14:paraId="6232894D" w14:textId="4F821ECA" w:rsidR="002E2F96" w:rsidRDefault="002E2F96" w:rsidP="009E62E9">
            <w:pPr>
              <w:pStyle w:val="TableDataCell"/>
            </w:pPr>
            <w:r>
              <w:t>Contact name:</w:t>
            </w:r>
          </w:p>
          <w:p w14:paraId="32A9186F" w14:textId="4DE4085E" w:rsidR="002E2F96" w:rsidRDefault="002E2F96" w:rsidP="009E62E9">
            <w:pPr>
              <w:pStyle w:val="TableDataCell"/>
            </w:pPr>
            <w:r>
              <w:t>Phone:</w:t>
            </w:r>
          </w:p>
          <w:p w14:paraId="06488F76" w14:textId="7785CCE2" w:rsidR="00D83880" w:rsidRPr="00D83880" w:rsidRDefault="002E2F96" w:rsidP="009E62E9">
            <w:pPr>
              <w:pStyle w:val="TableDataCell"/>
            </w:pPr>
            <w:r>
              <w:t>Email:</w:t>
            </w:r>
          </w:p>
        </w:tc>
        <w:tc>
          <w:tcPr>
            <w:tcW w:w="8640" w:type="dxa"/>
            <w:hideMark/>
          </w:tcPr>
          <w:p w14:paraId="28B461C8" w14:textId="77777777" w:rsidR="00D83880" w:rsidRPr="00D83880" w:rsidRDefault="00D83880" w:rsidP="009E62E9">
            <w:pPr>
              <w:pStyle w:val="TableDataCell"/>
            </w:pPr>
            <w:r w:rsidRPr="00D83880">
              <w:t>Receives information about a breach according to timeline and format mandated by regulatory requirements</w:t>
            </w:r>
          </w:p>
        </w:tc>
      </w:tr>
      <w:tr w:rsidR="00056531" w:rsidRPr="00D83880" w14:paraId="30DEA39C" w14:textId="77777777" w:rsidTr="009E62E9">
        <w:trPr>
          <w:trHeight w:val="316"/>
        </w:trPr>
        <w:tc>
          <w:tcPr>
            <w:tcW w:w="3583" w:type="dxa"/>
            <w:shd w:val="clear" w:color="auto" w:fill="DEFBE6"/>
            <w:noWrap/>
            <w:hideMark/>
          </w:tcPr>
          <w:p w14:paraId="70F3777A" w14:textId="77777777" w:rsidR="00D83880" w:rsidRPr="00D83880" w:rsidRDefault="00D83880" w:rsidP="003E6B36">
            <w:pPr>
              <w:pStyle w:val="TableHeading2"/>
            </w:pPr>
            <w:r w:rsidRPr="00D83880">
              <w:t>IT Support</w:t>
            </w:r>
          </w:p>
        </w:tc>
        <w:tc>
          <w:tcPr>
            <w:tcW w:w="8640" w:type="dxa"/>
            <w:shd w:val="clear" w:color="auto" w:fill="DEFBE6"/>
            <w:hideMark/>
          </w:tcPr>
          <w:p w14:paraId="473B76DC" w14:textId="31810C22" w:rsidR="00D83880" w:rsidRPr="00D83880" w:rsidRDefault="00142B82">
            <w:r>
              <w:t xml:space="preserve"> </w:t>
            </w:r>
          </w:p>
        </w:tc>
      </w:tr>
      <w:tr w:rsidR="00056531" w:rsidRPr="00D83880" w14:paraId="29A18282" w14:textId="77777777" w:rsidTr="009E62E9">
        <w:trPr>
          <w:trHeight w:val="317"/>
        </w:trPr>
        <w:tc>
          <w:tcPr>
            <w:tcW w:w="3583" w:type="dxa"/>
            <w:vMerge w:val="restart"/>
            <w:noWrap/>
            <w:hideMark/>
          </w:tcPr>
          <w:p w14:paraId="5D4E4448" w14:textId="3B9A929B" w:rsidR="002E2F96" w:rsidRDefault="002E2F96" w:rsidP="009E62E9">
            <w:pPr>
              <w:pStyle w:val="TableDataCell"/>
            </w:pPr>
            <w:r>
              <w:t>Contact name:</w:t>
            </w:r>
          </w:p>
          <w:p w14:paraId="3B1009E8" w14:textId="33F70C3E" w:rsidR="002E2F96" w:rsidRDefault="002E2F96" w:rsidP="009E62E9">
            <w:pPr>
              <w:pStyle w:val="TableDataCell"/>
            </w:pPr>
            <w:r>
              <w:t>Phone:</w:t>
            </w:r>
          </w:p>
          <w:p w14:paraId="68376C0A" w14:textId="5289BF39" w:rsidR="00D83880" w:rsidRPr="00D83880" w:rsidRDefault="002E2F96" w:rsidP="009E62E9">
            <w:pPr>
              <w:pStyle w:val="TableDataCell"/>
            </w:pPr>
            <w:r>
              <w:t>Email:</w:t>
            </w:r>
          </w:p>
        </w:tc>
        <w:tc>
          <w:tcPr>
            <w:tcW w:w="8640" w:type="dxa"/>
            <w:hideMark/>
          </w:tcPr>
          <w:p w14:paraId="3138A9B4" w14:textId="561AE3F6" w:rsidR="00D83880" w:rsidRPr="00D83880" w:rsidRDefault="00D83880" w:rsidP="009E62E9">
            <w:pPr>
              <w:pStyle w:val="TableDataCell"/>
            </w:pPr>
            <w:r>
              <w:t>Manages access to systems and applications for internal staff and partners</w:t>
            </w:r>
          </w:p>
        </w:tc>
      </w:tr>
      <w:tr w:rsidR="00056531" w:rsidRPr="00D83880" w14:paraId="49AAE1A7" w14:textId="77777777" w:rsidTr="009E62E9">
        <w:trPr>
          <w:trHeight w:val="317"/>
        </w:trPr>
        <w:tc>
          <w:tcPr>
            <w:tcW w:w="3583" w:type="dxa"/>
            <w:vMerge/>
            <w:hideMark/>
          </w:tcPr>
          <w:p w14:paraId="34186E8C" w14:textId="77777777" w:rsidR="00D83880" w:rsidRPr="00D83880" w:rsidRDefault="00D83880"/>
        </w:tc>
        <w:tc>
          <w:tcPr>
            <w:tcW w:w="8640" w:type="dxa"/>
            <w:hideMark/>
          </w:tcPr>
          <w:p w14:paraId="2855C8FA" w14:textId="1659DD61" w:rsidR="00D83880" w:rsidRPr="00D83880" w:rsidRDefault="00D83880" w:rsidP="009E62E9">
            <w:pPr>
              <w:pStyle w:val="TableDataCell"/>
            </w:pPr>
            <w:r>
              <w:t>Centrally manages patches, hardware and software updates, and other system upgrades to prevent and contain a cyberattack</w:t>
            </w:r>
          </w:p>
        </w:tc>
      </w:tr>
      <w:tr w:rsidR="00056531" w:rsidRPr="00D83880" w14:paraId="4FA0E0A1" w14:textId="77777777" w:rsidTr="009E62E9">
        <w:trPr>
          <w:trHeight w:val="316"/>
        </w:trPr>
        <w:tc>
          <w:tcPr>
            <w:tcW w:w="3583" w:type="dxa"/>
            <w:shd w:val="clear" w:color="auto" w:fill="DEFBE6"/>
            <w:noWrap/>
            <w:hideMark/>
          </w:tcPr>
          <w:p w14:paraId="3B9FA0A8" w14:textId="77777777" w:rsidR="00D83880" w:rsidRPr="00D83880" w:rsidRDefault="00D83880" w:rsidP="003E6B36">
            <w:pPr>
              <w:pStyle w:val="TableHeading2"/>
            </w:pPr>
            <w:r w:rsidRPr="00D83880">
              <w:t>Legal</w:t>
            </w:r>
          </w:p>
        </w:tc>
        <w:tc>
          <w:tcPr>
            <w:tcW w:w="8640" w:type="dxa"/>
            <w:shd w:val="clear" w:color="auto" w:fill="DEFBE6"/>
            <w:noWrap/>
            <w:hideMark/>
          </w:tcPr>
          <w:p w14:paraId="75E31077" w14:textId="77777777" w:rsidR="00D83880" w:rsidRPr="00D83880" w:rsidRDefault="00D83880" w:rsidP="003E6B36">
            <w:pPr>
              <w:pStyle w:val="TableHeading2"/>
            </w:pPr>
            <w:r w:rsidRPr="00D83880">
              <w:t>Compliance</w:t>
            </w:r>
          </w:p>
        </w:tc>
      </w:tr>
      <w:tr w:rsidR="00056531" w:rsidRPr="00D83880" w14:paraId="31374FC2" w14:textId="77777777" w:rsidTr="009E62E9">
        <w:trPr>
          <w:trHeight w:val="809"/>
        </w:trPr>
        <w:tc>
          <w:tcPr>
            <w:tcW w:w="3583" w:type="dxa"/>
            <w:vMerge w:val="restart"/>
            <w:noWrap/>
            <w:hideMark/>
          </w:tcPr>
          <w:p w14:paraId="3F1894FA" w14:textId="08298B8B" w:rsidR="002E2F96" w:rsidRDefault="002E2F96" w:rsidP="009E62E9">
            <w:pPr>
              <w:pStyle w:val="TableDataCell"/>
            </w:pPr>
            <w:r>
              <w:t>Contact name:</w:t>
            </w:r>
          </w:p>
          <w:p w14:paraId="0CC6ECA2" w14:textId="3CDB022D" w:rsidR="002E2F96" w:rsidRDefault="002E2F96" w:rsidP="009E62E9">
            <w:pPr>
              <w:pStyle w:val="TableDataCell"/>
            </w:pPr>
            <w:r>
              <w:t>Phone:</w:t>
            </w:r>
          </w:p>
          <w:p w14:paraId="69D66D35" w14:textId="76DA5EF8" w:rsidR="00D83880" w:rsidRPr="00D83880" w:rsidRDefault="002E2F96" w:rsidP="009E62E9">
            <w:pPr>
              <w:pStyle w:val="TableDataCell"/>
            </w:pPr>
            <w:r>
              <w:t>Email:</w:t>
            </w:r>
          </w:p>
        </w:tc>
        <w:tc>
          <w:tcPr>
            <w:tcW w:w="8640" w:type="dxa"/>
            <w:hideMark/>
          </w:tcPr>
          <w:p w14:paraId="62287998" w14:textId="04DD6D9A" w:rsidR="00D83880" w:rsidRPr="00D83880" w:rsidRDefault="00D83880" w:rsidP="009E62E9">
            <w:pPr>
              <w:pStyle w:val="TableDataCell"/>
            </w:pPr>
            <w:r>
              <w:t>Confirms requirements for informing employees, customers, and the public about cyberbreaches</w:t>
            </w:r>
          </w:p>
        </w:tc>
      </w:tr>
      <w:tr w:rsidR="00056531" w:rsidRPr="00D83880" w14:paraId="19EC2CE0" w14:textId="77777777" w:rsidTr="009E62E9">
        <w:trPr>
          <w:trHeight w:val="577"/>
        </w:trPr>
        <w:tc>
          <w:tcPr>
            <w:tcW w:w="3583" w:type="dxa"/>
            <w:vMerge/>
            <w:hideMark/>
          </w:tcPr>
          <w:p w14:paraId="31FBA217" w14:textId="77777777" w:rsidR="00D83880" w:rsidRPr="00D83880" w:rsidRDefault="00D83880"/>
        </w:tc>
        <w:tc>
          <w:tcPr>
            <w:tcW w:w="8640" w:type="dxa"/>
            <w:hideMark/>
          </w:tcPr>
          <w:p w14:paraId="1D861351" w14:textId="23405CAF" w:rsidR="00D83880" w:rsidRPr="00D83880" w:rsidRDefault="0042647A" w:rsidP="009E62E9">
            <w:pPr>
              <w:pStyle w:val="TableDataCell"/>
            </w:pPr>
            <w:r>
              <w:t>C</w:t>
            </w:r>
            <w:r w:rsidR="00D83880">
              <w:t>heck</w:t>
            </w:r>
            <w:r>
              <w:t>s</w:t>
            </w:r>
            <w:r w:rsidR="00D83880">
              <w:t xml:space="preserve"> in with local law enforcement</w:t>
            </w:r>
          </w:p>
        </w:tc>
      </w:tr>
      <w:tr w:rsidR="00056531" w:rsidRPr="00D83880" w14:paraId="1B77F3F6" w14:textId="77777777" w:rsidTr="009E62E9">
        <w:trPr>
          <w:trHeight w:val="592"/>
        </w:trPr>
        <w:tc>
          <w:tcPr>
            <w:tcW w:w="3583" w:type="dxa"/>
            <w:vMerge/>
            <w:hideMark/>
          </w:tcPr>
          <w:p w14:paraId="14823C35" w14:textId="77777777" w:rsidR="00D83880" w:rsidRPr="00D83880" w:rsidRDefault="00D83880"/>
        </w:tc>
        <w:tc>
          <w:tcPr>
            <w:tcW w:w="8640" w:type="dxa"/>
            <w:hideMark/>
          </w:tcPr>
          <w:p w14:paraId="634C84E2" w14:textId="3FE688C6" w:rsidR="00D83880" w:rsidRPr="00D83880" w:rsidRDefault="00D83880" w:rsidP="009E62E9">
            <w:pPr>
              <w:pStyle w:val="TableDataCell"/>
            </w:pPr>
            <w:r>
              <w:t xml:space="preserve">Ensures </w:t>
            </w:r>
            <w:r w:rsidR="003A74B7">
              <w:t xml:space="preserve">the </w:t>
            </w:r>
            <w:r>
              <w:t>IT team has legal authority for privilege account monitoring</w:t>
            </w:r>
          </w:p>
        </w:tc>
      </w:tr>
      <w:tr w:rsidR="00056531" w:rsidRPr="00D83880" w14:paraId="1C9BF598" w14:textId="77777777" w:rsidTr="009E62E9">
        <w:trPr>
          <w:trHeight w:val="517"/>
        </w:trPr>
        <w:tc>
          <w:tcPr>
            <w:tcW w:w="3583" w:type="dxa"/>
            <w:shd w:val="clear" w:color="auto" w:fill="DEFBE6"/>
            <w:hideMark/>
          </w:tcPr>
          <w:p w14:paraId="63D6E40E" w14:textId="77777777" w:rsidR="00D83880" w:rsidRPr="00D83880" w:rsidRDefault="00D83880" w:rsidP="003E6B36">
            <w:pPr>
              <w:pStyle w:val="TableHeading2"/>
            </w:pPr>
            <w:r w:rsidRPr="00D83880">
              <w:t>Public Affairs and Media Relations</w:t>
            </w:r>
          </w:p>
        </w:tc>
        <w:tc>
          <w:tcPr>
            <w:tcW w:w="8640" w:type="dxa"/>
            <w:shd w:val="clear" w:color="auto" w:fill="DEFBE6"/>
            <w:noWrap/>
            <w:hideMark/>
          </w:tcPr>
          <w:p w14:paraId="45F7D60F" w14:textId="77777777" w:rsidR="00D83880" w:rsidRPr="00D83880" w:rsidRDefault="00D83880" w:rsidP="003E6B36">
            <w:pPr>
              <w:pStyle w:val="TableHeading2"/>
            </w:pPr>
            <w:r w:rsidRPr="00D83880">
              <w:t>Communication</w:t>
            </w:r>
          </w:p>
        </w:tc>
      </w:tr>
      <w:tr w:rsidR="00056531" w:rsidRPr="00D83880" w14:paraId="76568EC6" w14:textId="77777777" w:rsidTr="009E62E9">
        <w:trPr>
          <w:trHeight w:val="592"/>
        </w:trPr>
        <w:tc>
          <w:tcPr>
            <w:tcW w:w="3583" w:type="dxa"/>
            <w:vMerge w:val="restart"/>
            <w:noWrap/>
            <w:hideMark/>
          </w:tcPr>
          <w:p w14:paraId="55B04F79" w14:textId="794D163C" w:rsidR="002E2F96" w:rsidRDefault="002E2F96" w:rsidP="009E62E9">
            <w:pPr>
              <w:pStyle w:val="TableDataCell"/>
            </w:pPr>
            <w:r>
              <w:t>Contact name:</w:t>
            </w:r>
          </w:p>
          <w:p w14:paraId="71CBACA5" w14:textId="1D5AF050" w:rsidR="002E2F96" w:rsidRDefault="002E2F96" w:rsidP="009E62E9">
            <w:pPr>
              <w:pStyle w:val="TableDataCell"/>
            </w:pPr>
            <w:r>
              <w:t>Phone:</w:t>
            </w:r>
          </w:p>
          <w:p w14:paraId="26298477" w14:textId="12DA422D" w:rsidR="00D83880" w:rsidRPr="00D83880" w:rsidRDefault="002E2F96" w:rsidP="009E62E9">
            <w:pPr>
              <w:pStyle w:val="TableDataCell"/>
            </w:pPr>
            <w:r>
              <w:t>Email:</w:t>
            </w:r>
          </w:p>
        </w:tc>
        <w:tc>
          <w:tcPr>
            <w:tcW w:w="8640" w:type="dxa"/>
            <w:hideMark/>
          </w:tcPr>
          <w:p w14:paraId="21CB7E35" w14:textId="6B106EB3" w:rsidR="00D83880" w:rsidRPr="00D83880" w:rsidRDefault="00D83880" w:rsidP="009E62E9">
            <w:pPr>
              <w:pStyle w:val="TableDataCell"/>
            </w:pPr>
            <w:r>
              <w:t>Communicates externally with customers, partners, and the media</w:t>
            </w:r>
          </w:p>
        </w:tc>
      </w:tr>
      <w:tr w:rsidR="00056531" w:rsidRPr="00D83880" w14:paraId="008B86B3" w14:textId="77777777" w:rsidTr="009E62E9">
        <w:trPr>
          <w:trHeight w:val="742"/>
        </w:trPr>
        <w:tc>
          <w:tcPr>
            <w:tcW w:w="3583" w:type="dxa"/>
            <w:vMerge/>
            <w:hideMark/>
          </w:tcPr>
          <w:p w14:paraId="71B028E1" w14:textId="77777777" w:rsidR="00D83880" w:rsidRPr="00D83880" w:rsidRDefault="00D83880"/>
        </w:tc>
        <w:tc>
          <w:tcPr>
            <w:tcW w:w="8640" w:type="dxa"/>
            <w:hideMark/>
          </w:tcPr>
          <w:p w14:paraId="0E1D2FC2" w14:textId="514B4944" w:rsidR="00D83880" w:rsidRPr="00D83880" w:rsidRDefault="00D83880" w:rsidP="009E62E9">
            <w:pPr>
              <w:pStyle w:val="TableDataCell"/>
            </w:pPr>
            <w:r>
              <w:t>Coordinates all communications and request</w:t>
            </w:r>
            <w:r w:rsidR="003A74B7">
              <w:t>s</w:t>
            </w:r>
            <w:r>
              <w:t xml:space="preserve"> for interviews with internal subject matter experts and </w:t>
            </w:r>
            <w:r w:rsidR="003A74B7">
              <w:t xml:space="preserve">the </w:t>
            </w:r>
            <w:r>
              <w:t>security team</w:t>
            </w:r>
          </w:p>
        </w:tc>
      </w:tr>
      <w:tr w:rsidR="00056531" w:rsidRPr="00D83880" w14:paraId="0DFA2F78" w14:textId="77777777" w:rsidTr="009E62E9">
        <w:trPr>
          <w:trHeight w:val="851"/>
        </w:trPr>
        <w:tc>
          <w:tcPr>
            <w:tcW w:w="3583" w:type="dxa"/>
            <w:vMerge/>
            <w:hideMark/>
          </w:tcPr>
          <w:p w14:paraId="03BB3854" w14:textId="77777777" w:rsidR="00D83880" w:rsidRPr="00D83880" w:rsidRDefault="00D83880"/>
        </w:tc>
        <w:tc>
          <w:tcPr>
            <w:tcW w:w="8640" w:type="dxa"/>
            <w:hideMark/>
          </w:tcPr>
          <w:p w14:paraId="406CA3F1" w14:textId="37EE7CAD" w:rsidR="00D83880" w:rsidRPr="00D83880" w:rsidRDefault="002B69E0" w:rsidP="009E62E9">
            <w:pPr>
              <w:pStyle w:val="TableDataCell"/>
            </w:pPr>
            <w:r>
              <w:t>Keeps and updates customizable drafts of incident communications plans and statements for use if an incident occurs</w:t>
            </w:r>
          </w:p>
        </w:tc>
      </w:tr>
      <w:tr w:rsidR="00056531" w:rsidRPr="00D83880" w14:paraId="7DB2E1E2" w14:textId="77777777" w:rsidTr="009E62E9">
        <w:trPr>
          <w:trHeight w:val="316"/>
        </w:trPr>
        <w:tc>
          <w:tcPr>
            <w:tcW w:w="3583" w:type="dxa"/>
            <w:shd w:val="clear" w:color="auto" w:fill="DEFBE6"/>
            <w:noWrap/>
            <w:hideMark/>
          </w:tcPr>
          <w:p w14:paraId="51FBBB53" w14:textId="77777777" w:rsidR="00D83880" w:rsidRPr="00D83880" w:rsidRDefault="00D83880" w:rsidP="003E6B36">
            <w:pPr>
              <w:pStyle w:val="TableHeading2"/>
            </w:pPr>
            <w:r w:rsidRPr="00D83880">
              <w:lastRenderedPageBreak/>
              <w:t>Human Resources</w:t>
            </w:r>
          </w:p>
        </w:tc>
        <w:tc>
          <w:tcPr>
            <w:tcW w:w="8640" w:type="dxa"/>
            <w:shd w:val="clear" w:color="auto" w:fill="DEFBE6"/>
            <w:noWrap/>
            <w:hideMark/>
          </w:tcPr>
          <w:p w14:paraId="414E49DA" w14:textId="77777777" w:rsidR="00D83880" w:rsidRPr="00D83880" w:rsidRDefault="00D83880" w:rsidP="003E6B36">
            <w:pPr>
              <w:pStyle w:val="TableHeading2"/>
            </w:pPr>
            <w:r w:rsidRPr="00D83880">
              <w:t>Compliance</w:t>
            </w:r>
          </w:p>
        </w:tc>
      </w:tr>
      <w:tr w:rsidR="00056531" w:rsidRPr="00D83880" w14:paraId="7C286BEC" w14:textId="77777777" w:rsidTr="009E62E9">
        <w:trPr>
          <w:trHeight w:val="1065"/>
        </w:trPr>
        <w:tc>
          <w:tcPr>
            <w:tcW w:w="3583" w:type="dxa"/>
            <w:noWrap/>
            <w:hideMark/>
          </w:tcPr>
          <w:p w14:paraId="53EFBFA0" w14:textId="1B97AC50" w:rsidR="002E2F96" w:rsidRDefault="002E2F96" w:rsidP="009E62E9">
            <w:pPr>
              <w:pStyle w:val="TableDataCell"/>
            </w:pPr>
            <w:r>
              <w:t>Contact name:</w:t>
            </w:r>
          </w:p>
          <w:p w14:paraId="55CB82EC" w14:textId="24BA365B" w:rsidR="002E2F96" w:rsidRDefault="002E2F96" w:rsidP="009E62E9">
            <w:pPr>
              <w:pStyle w:val="TableDataCell"/>
            </w:pPr>
            <w:r>
              <w:t>Phone:</w:t>
            </w:r>
          </w:p>
          <w:p w14:paraId="529087B6" w14:textId="666FE0D6" w:rsidR="00D83880" w:rsidRPr="00D83880" w:rsidRDefault="002E2F96" w:rsidP="009E62E9">
            <w:pPr>
              <w:pStyle w:val="TableDataCell"/>
            </w:pPr>
            <w:r>
              <w:t>Email:</w:t>
            </w:r>
          </w:p>
        </w:tc>
        <w:tc>
          <w:tcPr>
            <w:tcW w:w="8640" w:type="dxa"/>
            <w:hideMark/>
          </w:tcPr>
          <w:p w14:paraId="0DB322DE" w14:textId="0FE9818B" w:rsidR="00D83880" w:rsidRPr="00D83880" w:rsidRDefault="00D83880" w:rsidP="009E62E9">
            <w:pPr>
              <w:pStyle w:val="TableDataCell"/>
            </w:pPr>
            <w:r>
              <w:t>Coordinates internal employee communications regarding breaches of personal information and responds to questions from employees</w:t>
            </w:r>
          </w:p>
        </w:tc>
      </w:tr>
      <w:tr w:rsidR="00056531" w:rsidRPr="00D83880" w14:paraId="76BA37CA" w14:textId="77777777" w:rsidTr="009E62E9">
        <w:trPr>
          <w:trHeight w:val="367"/>
        </w:trPr>
        <w:tc>
          <w:tcPr>
            <w:tcW w:w="3583" w:type="dxa"/>
            <w:shd w:val="clear" w:color="auto" w:fill="DEFBE6"/>
            <w:hideMark/>
          </w:tcPr>
          <w:p w14:paraId="35C139A4" w14:textId="77777777" w:rsidR="00D83880" w:rsidRPr="00D83880" w:rsidRDefault="00D83880" w:rsidP="003E6B36">
            <w:pPr>
              <w:pStyle w:val="TableHeading2"/>
            </w:pPr>
            <w:r w:rsidRPr="00D83880">
              <w:t>Business Continuity Planning</w:t>
            </w:r>
          </w:p>
        </w:tc>
        <w:tc>
          <w:tcPr>
            <w:tcW w:w="8640" w:type="dxa"/>
            <w:shd w:val="clear" w:color="auto" w:fill="DEFBE6"/>
            <w:noWrap/>
            <w:hideMark/>
          </w:tcPr>
          <w:p w14:paraId="50CD1AA0" w14:textId="77777777" w:rsidR="00D83880" w:rsidRPr="00D83880" w:rsidRDefault="00D83880" w:rsidP="003E6B36">
            <w:pPr>
              <w:pStyle w:val="TableHeading2"/>
            </w:pPr>
            <w:r w:rsidRPr="00D83880">
              <w:t>Communication</w:t>
            </w:r>
          </w:p>
        </w:tc>
      </w:tr>
      <w:tr w:rsidR="00056531" w:rsidRPr="00D83880" w14:paraId="13B48274" w14:textId="77777777" w:rsidTr="009E62E9">
        <w:trPr>
          <w:trHeight w:val="592"/>
        </w:trPr>
        <w:tc>
          <w:tcPr>
            <w:tcW w:w="3583" w:type="dxa"/>
            <w:vMerge w:val="restart"/>
            <w:noWrap/>
            <w:hideMark/>
          </w:tcPr>
          <w:p w14:paraId="7BA94667" w14:textId="430C5322" w:rsidR="002E2F96" w:rsidRDefault="002E2F96" w:rsidP="009E62E9">
            <w:pPr>
              <w:pStyle w:val="TableDataCell"/>
            </w:pPr>
            <w:r>
              <w:t>Contact name:</w:t>
            </w:r>
          </w:p>
          <w:p w14:paraId="74D14DCD" w14:textId="4ADE2999" w:rsidR="002E2F96" w:rsidRDefault="002E2F96" w:rsidP="009E62E9">
            <w:pPr>
              <w:pStyle w:val="TableDataCell"/>
            </w:pPr>
            <w:r>
              <w:t>Phone:</w:t>
            </w:r>
          </w:p>
          <w:p w14:paraId="60FB44C8" w14:textId="30320414" w:rsidR="00D83880" w:rsidRPr="00D83880" w:rsidRDefault="002E2F96" w:rsidP="009E62E9">
            <w:pPr>
              <w:pStyle w:val="TableDataCell"/>
            </w:pPr>
            <w:r>
              <w:t>Email:</w:t>
            </w:r>
          </w:p>
        </w:tc>
        <w:tc>
          <w:tcPr>
            <w:tcW w:w="8640" w:type="dxa"/>
            <w:hideMark/>
          </w:tcPr>
          <w:p w14:paraId="228A8500" w14:textId="5E7B0BB7" w:rsidR="00D83880" w:rsidRPr="00D83880" w:rsidRDefault="00D83880" w:rsidP="009E62E9">
            <w:pPr>
              <w:pStyle w:val="TableDataCell"/>
            </w:pPr>
            <w:r>
              <w:t>Communicates externally with customers, partners, and the media</w:t>
            </w:r>
          </w:p>
        </w:tc>
      </w:tr>
      <w:tr w:rsidR="00056531" w:rsidRPr="00D83880" w14:paraId="018FFB54" w14:textId="77777777" w:rsidTr="009E62E9">
        <w:trPr>
          <w:trHeight w:val="802"/>
        </w:trPr>
        <w:tc>
          <w:tcPr>
            <w:tcW w:w="3583" w:type="dxa"/>
            <w:vMerge/>
            <w:hideMark/>
          </w:tcPr>
          <w:p w14:paraId="0EFD5790" w14:textId="77777777" w:rsidR="00D83880" w:rsidRPr="00D83880" w:rsidRDefault="00D83880"/>
        </w:tc>
        <w:tc>
          <w:tcPr>
            <w:tcW w:w="8640" w:type="dxa"/>
            <w:hideMark/>
          </w:tcPr>
          <w:p w14:paraId="2814FB5E" w14:textId="17CB8FB9" w:rsidR="00D83880" w:rsidRPr="00D83880" w:rsidRDefault="00D83880" w:rsidP="009E62E9">
            <w:pPr>
              <w:pStyle w:val="TableDataCell"/>
            </w:pPr>
            <w:r>
              <w:t>Coordinates all communications and request</w:t>
            </w:r>
            <w:r w:rsidR="003A74B7">
              <w:t>s</w:t>
            </w:r>
            <w:r>
              <w:t xml:space="preserve"> for interviews with internal subject matter experts and </w:t>
            </w:r>
            <w:r w:rsidR="003A74B7">
              <w:t xml:space="preserve">the </w:t>
            </w:r>
            <w:r>
              <w:t>security team</w:t>
            </w:r>
          </w:p>
        </w:tc>
      </w:tr>
      <w:tr w:rsidR="00056531" w:rsidRPr="00D83880" w14:paraId="5EC1AA36" w14:textId="77777777" w:rsidTr="009E62E9">
        <w:trPr>
          <w:trHeight w:val="907"/>
        </w:trPr>
        <w:tc>
          <w:tcPr>
            <w:tcW w:w="3583" w:type="dxa"/>
            <w:vMerge/>
            <w:hideMark/>
          </w:tcPr>
          <w:p w14:paraId="0BA980CA" w14:textId="77777777" w:rsidR="00D83880" w:rsidRPr="00D83880" w:rsidRDefault="00D83880"/>
        </w:tc>
        <w:tc>
          <w:tcPr>
            <w:tcW w:w="8640" w:type="dxa"/>
            <w:hideMark/>
          </w:tcPr>
          <w:p w14:paraId="00BE6C80" w14:textId="2C1A65AF" w:rsidR="00D83880" w:rsidRPr="00D83880" w:rsidRDefault="002B69E0" w:rsidP="009E62E9">
            <w:pPr>
              <w:pStyle w:val="TableDataCell"/>
            </w:pPr>
            <w:r>
              <w:t>Keeps and updates customizable drafts of incident communications guidelines and statements for use i</w:t>
            </w:r>
            <w:r>
              <w:t>n case</w:t>
            </w:r>
            <w:r>
              <w:t xml:space="preserve"> an incident occurs</w:t>
            </w:r>
          </w:p>
        </w:tc>
      </w:tr>
      <w:tr w:rsidR="00056531" w:rsidRPr="00D83880" w14:paraId="6FA3C3BD" w14:textId="77777777" w:rsidTr="009E62E9">
        <w:trPr>
          <w:trHeight w:val="442"/>
        </w:trPr>
        <w:tc>
          <w:tcPr>
            <w:tcW w:w="3583" w:type="dxa"/>
            <w:shd w:val="clear" w:color="auto" w:fill="DEFBE6"/>
            <w:hideMark/>
          </w:tcPr>
          <w:p w14:paraId="46ABC570" w14:textId="77777777" w:rsidR="00D83880" w:rsidRPr="00D83880" w:rsidRDefault="00D83880" w:rsidP="003E6B36">
            <w:pPr>
              <w:pStyle w:val="TableHeading2"/>
            </w:pPr>
            <w:r w:rsidRPr="00D83880">
              <w:t>Physical Security and Facilities Management</w:t>
            </w:r>
          </w:p>
        </w:tc>
        <w:tc>
          <w:tcPr>
            <w:tcW w:w="8640" w:type="dxa"/>
            <w:shd w:val="clear" w:color="auto" w:fill="DEFBE6"/>
            <w:noWrap/>
            <w:hideMark/>
          </w:tcPr>
          <w:p w14:paraId="46C24223" w14:textId="77777777" w:rsidR="00D83880" w:rsidRPr="00D83880" w:rsidRDefault="00D83880" w:rsidP="003E6B36">
            <w:pPr>
              <w:pStyle w:val="TableHeading2"/>
            </w:pPr>
            <w:r w:rsidRPr="00D83880">
              <w:t>Security</w:t>
            </w:r>
          </w:p>
        </w:tc>
      </w:tr>
      <w:tr w:rsidR="00056531" w:rsidRPr="00D83880" w14:paraId="717B31EF" w14:textId="77777777" w:rsidTr="009E62E9">
        <w:trPr>
          <w:trHeight w:val="792"/>
        </w:trPr>
        <w:tc>
          <w:tcPr>
            <w:tcW w:w="3583" w:type="dxa"/>
            <w:vMerge w:val="restart"/>
            <w:noWrap/>
            <w:hideMark/>
          </w:tcPr>
          <w:p w14:paraId="56AB23DE" w14:textId="00DD7A53" w:rsidR="002E2F96" w:rsidRDefault="002E2F96" w:rsidP="009E62E9">
            <w:pPr>
              <w:pStyle w:val="TableDataCell"/>
            </w:pPr>
            <w:r>
              <w:t>Contact name:</w:t>
            </w:r>
          </w:p>
          <w:p w14:paraId="584A2E65" w14:textId="4BAA7DA5" w:rsidR="002E2F96" w:rsidRDefault="002E2F96" w:rsidP="009E62E9">
            <w:pPr>
              <w:pStyle w:val="TableDataCell"/>
            </w:pPr>
            <w:r>
              <w:t>Phone:</w:t>
            </w:r>
          </w:p>
          <w:p w14:paraId="78991E9F" w14:textId="08E9976B" w:rsidR="00D83880" w:rsidRPr="00D83880" w:rsidRDefault="002E2F96" w:rsidP="009E62E9">
            <w:pPr>
              <w:pStyle w:val="TableDataCell"/>
            </w:pPr>
            <w:r>
              <w:t>Email:</w:t>
            </w:r>
          </w:p>
        </w:tc>
        <w:tc>
          <w:tcPr>
            <w:tcW w:w="8640" w:type="dxa"/>
            <w:hideMark/>
          </w:tcPr>
          <w:p w14:paraId="2538A86F" w14:textId="619FAEC1" w:rsidR="00D83880" w:rsidRPr="00D83880" w:rsidRDefault="0042647A" w:rsidP="009E62E9">
            <w:pPr>
              <w:pStyle w:val="TableDataCell"/>
            </w:pPr>
            <w:r>
              <w:t>Manages user</w:t>
            </w:r>
            <w:r w:rsidR="00D83880">
              <w:t xml:space="preserve"> privilege</w:t>
            </w:r>
            <w:r>
              <w:t>s</w:t>
            </w:r>
            <w:r w:rsidR="00D83880">
              <w:t>, enterprise password protection</w:t>
            </w:r>
            <w:r>
              <w:t>,</w:t>
            </w:r>
            <w:r w:rsidR="00D83880">
              <w:t xml:space="preserve"> and role-based access control</w:t>
            </w:r>
          </w:p>
        </w:tc>
      </w:tr>
      <w:tr w:rsidR="00056531" w:rsidRPr="00D83880" w14:paraId="27F2A94D" w14:textId="77777777" w:rsidTr="009E62E9">
        <w:trPr>
          <w:trHeight w:val="577"/>
        </w:trPr>
        <w:tc>
          <w:tcPr>
            <w:tcW w:w="3583" w:type="dxa"/>
            <w:vMerge/>
            <w:hideMark/>
          </w:tcPr>
          <w:p w14:paraId="1E378022" w14:textId="77777777" w:rsidR="00D83880" w:rsidRPr="00D83880" w:rsidRDefault="00D83880"/>
        </w:tc>
        <w:tc>
          <w:tcPr>
            <w:tcW w:w="8640" w:type="dxa"/>
            <w:hideMark/>
          </w:tcPr>
          <w:p w14:paraId="523B57D1" w14:textId="4BDF70D7" w:rsidR="00D83880" w:rsidRPr="00D83880" w:rsidRDefault="00D83880" w:rsidP="009E62E9">
            <w:pPr>
              <w:pStyle w:val="TableDataCell"/>
            </w:pPr>
            <w:r>
              <w:t>Discovers, audits, and reports on all privilege usage</w:t>
            </w:r>
          </w:p>
        </w:tc>
      </w:tr>
      <w:tr w:rsidR="00056531" w:rsidRPr="00D83880" w14:paraId="4CCFF82E" w14:textId="77777777" w:rsidTr="009E62E9">
        <w:trPr>
          <w:trHeight w:val="982"/>
        </w:trPr>
        <w:tc>
          <w:tcPr>
            <w:tcW w:w="3583" w:type="dxa"/>
            <w:vMerge/>
            <w:hideMark/>
          </w:tcPr>
          <w:p w14:paraId="2355C8AA" w14:textId="77777777" w:rsidR="00D83880" w:rsidRPr="00D83880" w:rsidRDefault="00D83880"/>
        </w:tc>
        <w:tc>
          <w:tcPr>
            <w:tcW w:w="8640" w:type="dxa"/>
            <w:hideMark/>
          </w:tcPr>
          <w:p w14:paraId="2CFFE57F" w14:textId="546B623F" w:rsidR="00D83880" w:rsidRPr="00D83880" w:rsidRDefault="00D83880" w:rsidP="009E62E9">
            <w:pPr>
              <w:pStyle w:val="TableDataCell"/>
            </w:pPr>
            <w:r>
              <w:t>Conducts random checks to audit privileged accounts, validate whether they are required, and re-authenticate those that are</w:t>
            </w:r>
          </w:p>
        </w:tc>
      </w:tr>
      <w:tr w:rsidR="00056531" w:rsidRPr="00D83880" w14:paraId="1925D8D6" w14:textId="77777777" w:rsidTr="009E62E9">
        <w:trPr>
          <w:trHeight w:val="1028"/>
        </w:trPr>
        <w:tc>
          <w:tcPr>
            <w:tcW w:w="3583" w:type="dxa"/>
            <w:vMerge/>
            <w:hideMark/>
          </w:tcPr>
          <w:p w14:paraId="6170DCC4" w14:textId="77777777" w:rsidR="00D83880" w:rsidRPr="00D83880" w:rsidRDefault="00D83880"/>
        </w:tc>
        <w:tc>
          <w:tcPr>
            <w:tcW w:w="8640" w:type="dxa"/>
            <w:hideMark/>
          </w:tcPr>
          <w:p w14:paraId="41D24629" w14:textId="3BA321BB" w:rsidR="00D83880" w:rsidRPr="00D83880" w:rsidRDefault="00D83880" w:rsidP="009E62E9">
            <w:pPr>
              <w:pStyle w:val="TableDataCell"/>
            </w:pPr>
            <w:r>
              <w:t xml:space="preserve">Monitors </w:t>
            </w:r>
            <w:r w:rsidR="002B69E0">
              <w:t xml:space="preserve">use of </w:t>
            </w:r>
            <w:r>
              <w:t>privileged account</w:t>
            </w:r>
            <w:r w:rsidR="002B69E0">
              <w:t>s</w:t>
            </w:r>
            <w:r>
              <w:t xml:space="preserve"> and proactively </w:t>
            </w:r>
            <w:r w:rsidR="002B69E0">
              <w:t>searches</w:t>
            </w:r>
            <w:r w:rsidR="002B69E0">
              <w:t xml:space="preserve"> </w:t>
            </w:r>
            <w:r>
              <w:t xml:space="preserve">for </w:t>
            </w:r>
            <w:r w:rsidR="002B69E0">
              <w:t>signs</w:t>
            </w:r>
            <w:r w:rsidR="002B69E0">
              <w:t xml:space="preserve"> </w:t>
            </w:r>
            <w:r>
              <w:t>of compromise</w:t>
            </w:r>
          </w:p>
        </w:tc>
      </w:tr>
      <w:tr w:rsidR="00056531" w:rsidRPr="00D83880" w14:paraId="025D0F78" w14:textId="77777777" w:rsidTr="009E62E9">
        <w:trPr>
          <w:trHeight w:val="1057"/>
        </w:trPr>
        <w:tc>
          <w:tcPr>
            <w:tcW w:w="3583" w:type="dxa"/>
            <w:vMerge/>
            <w:hideMark/>
          </w:tcPr>
          <w:p w14:paraId="5BFC5A97" w14:textId="77777777" w:rsidR="00D83880" w:rsidRPr="00D83880" w:rsidRDefault="00D83880"/>
        </w:tc>
        <w:tc>
          <w:tcPr>
            <w:tcW w:w="8640" w:type="dxa"/>
            <w:tcBorders>
              <w:bottom w:val="single" w:sz="4" w:space="0" w:color="auto"/>
            </w:tcBorders>
            <w:hideMark/>
          </w:tcPr>
          <w:p w14:paraId="7B2C2C51" w14:textId="0C434151" w:rsidR="00D83880" w:rsidRPr="00D83880" w:rsidRDefault="00D83880" w:rsidP="009E62E9">
            <w:pPr>
              <w:pStyle w:val="TableDataCell"/>
            </w:pPr>
            <w:r>
              <w:t>Informs incident response team of potential attacks that compromise privileged accounts, validates and reports on the extent of attacks</w:t>
            </w:r>
          </w:p>
        </w:tc>
      </w:tr>
      <w:tr w:rsidR="00056531" w:rsidRPr="00D83880" w14:paraId="683DB63C" w14:textId="77777777" w:rsidTr="009E62E9">
        <w:trPr>
          <w:trHeight w:val="652"/>
        </w:trPr>
        <w:tc>
          <w:tcPr>
            <w:tcW w:w="3583" w:type="dxa"/>
            <w:vMerge/>
            <w:hideMark/>
          </w:tcPr>
          <w:p w14:paraId="47271C3A" w14:textId="77777777" w:rsidR="00D83880" w:rsidRPr="00D83880" w:rsidRDefault="00D83880"/>
        </w:tc>
        <w:tc>
          <w:tcPr>
            <w:tcW w:w="8640" w:type="dxa"/>
            <w:hideMark/>
          </w:tcPr>
          <w:p w14:paraId="4272A84D" w14:textId="0B2A3733" w:rsidR="00D83880" w:rsidRPr="00D83880" w:rsidRDefault="00D83880" w:rsidP="009E62E9">
            <w:pPr>
              <w:pStyle w:val="TableDataCell"/>
            </w:pPr>
            <w:r>
              <w:t>Takes action to prevent the spread of a breach by updating privileges</w:t>
            </w:r>
          </w:p>
        </w:tc>
      </w:tr>
    </w:tbl>
    <w:p w14:paraId="085E1AE0" w14:textId="2AAEEB93" w:rsidR="009D5A8E" w:rsidRDefault="009D5A8E" w:rsidP="009D5A8E">
      <w:pPr>
        <w:pStyle w:val="Heading1"/>
      </w:pPr>
      <w:r>
        <w:t>Incident Location and Type</w:t>
      </w:r>
    </w:p>
    <w:p w14:paraId="4F325D09" w14:textId="21A998D1" w:rsidR="00573D05" w:rsidRPr="009D5A8E" w:rsidRDefault="00C561D5" w:rsidP="009D5A8E">
      <w:r w:rsidRPr="009D5A8E">
        <w:rPr>
          <w:shd w:val="clear" w:color="auto" w:fill="FFFFFF"/>
        </w:rPr>
        <w:t>Indicate the incident’s location and type</w:t>
      </w:r>
      <w:r w:rsidR="009E62E9">
        <w:rPr>
          <w:shd w:val="clear" w:color="auto" w:fill="FFFFFF"/>
        </w:rPr>
        <w:t>, and</w:t>
      </w:r>
      <w:r w:rsidRPr="009D5A8E">
        <w:rPr>
          <w:shd w:val="clear" w:color="auto" w:fill="FFFFFF"/>
        </w:rPr>
        <w:t xml:space="preserve"> </w:t>
      </w:r>
      <w:r w:rsidR="009E62E9">
        <w:rPr>
          <w:shd w:val="clear" w:color="auto" w:fill="FFFFFF"/>
        </w:rPr>
        <w:t>m</w:t>
      </w:r>
      <w:r w:rsidRPr="009D5A8E">
        <w:rPr>
          <w:shd w:val="clear" w:color="auto" w:fill="FFFFFF"/>
        </w:rPr>
        <w:t xml:space="preserve">ake multiple selections if appropriate. If the choices listed do not accurately represent the location or type of incident, </w:t>
      </w:r>
      <w:r w:rsidR="003A74B7">
        <w:rPr>
          <w:shd w:val="clear" w:color="auto" w:fill="FFFFFF"/>
        </w:rPr>
        <w:t xml:space="preserve">select </w:t>
      </w:r>
      <w:r w:rsidR="003A74B7" w:rsidRPr="009D5A8E">
        <w:rPr>
          <w:shd w:val="clear" w:color="auto" w:fill="FFFFFF"/>
        </w:rPr>
        <w:t>“Other”</w:t>
      </w:r>
      <w:r w:rsidR="003A74B7">
        <w:rPr>
          <w:shd w:val="clear" w:color="auto" w:fill="FFFFFF"/>
        </w:rPr>
        <w:t xml:space="preserve"> and </w:t>
      </w:r>
      <w:r w:rsidRPr="009D5A8E">
        <w:rPr>
          <w:shd w:val="clear" w:color="auto" w:fill="FFFFFF"/>
        </w:rPr>
        <w:t>describe the location or type.</w:t>
      </w:r>
    </w:p>
    <w:tbl>
      <w:tblPr>
        <w:tblW w:w="12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6120"/>
      </w:tblGrid>
      <w:tr w:rsidR="00202513" w:rsidRPr="00202513" w14:paraId="37269473" w14:textId="77777777" w:rsidTr="009E62E9">
        <w:trPr>
          <w:trHeight w:val="2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62FE"/>
            <w:hideMark/>
          </w:tcPr>
          <w:p w14:paraId="08BDDE0A" w14:textId="7130F7D8" w:rsidR="00CF331D" w:rsidRPr="001D0EB6" w:rsidRDefault="00CF331D" w:rsidP="003E6B36">
            <w:pPr>
              <w:pStyle w:val="TableHeading1"/>
              <w:rPr>
                <w:rFonts w:cs="Segoe UI"/>
                <w:sz w:val="18"/>
                <w:szCs w:val="18"/>
              </w:rPr>
            </w:pPr>
            <w:r w:rsidRPr="001D0EB6">
              <w:t>Location of Incident</w:t>
            </w:r>
          </w:p>
        </w:tc>
        <w:tc>
          <w:tcPr>
            <w:tcW w:w="61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F62FE"/>
            <w:hideMark/>
          </w:tcPr>
          <w:p w14:paraId="76FBDBA7" w14:textId="7EA11865" w:rsidR="00CF331D" w:rsidRPr="001D0EB6" w:rsidRDefault="00CF331D" w:rsidP="003E6B36">
            <w:pPr>
              <w:pStyle w:val="TableHeading1"/>
              <w:rPr>
                <w:rFonts w:cs="Segoe UI"/>
                <w:sz w:val="18"/>
                <w:szCs w:val="18"/>
              </w:rPr>
            </w:pPr>
            <w:r w:rsidRPr="001D0EB6">
              <w:t>Type of Incident</w:t>
            </w:r>
          </w:p>
        </w:tc>
      </w:tr>
      <w:tr w:rsidR="004220C9" w:rsidRPr="00CF331D" w14:paraId="78651F82" w14:textId="77777777" w:rsidTr="009E62E9">
        <w:trPr>
          <w:trHeight w:val="687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3196E" w14:textId="77777777" w:rsidR="00142B82" w:rsidRPr="00202513" w:rsidRDefault="00142B82" w:rsidP="006604BD">
            <w:pPr>
              <w:spacing w:after="0" w:line="240" w:lineRule="auto"/>
              <w:textAlignment w:val="baseline"/>
              <w:rPr>
                <w:rFonts w:cs="Calibri"/>
                <w:bCs/>
                <w:color w:val="000000"/>
                <w:shd w:val="clear" w:color="auto" w:fill="FFFFFF"/>
              </w:rPr>
            </w:pPr>
          </w:p>
          <w:p w14:paraId="454C5194" w14:textId="77777777" w:rsidR="00142B82" w:rsidRPr="009E62E9" w:rsidRDefault="00B559CE" w:rsidP="00B559CE">
            <w:pPr>
              <w:spacing w:after="0" w:line="240" w:lineRule="auto"/>
              <w:ind w:left="720"/>
              <w:textAlignment w:val="baseline"/>
              <w:rPr>
                <w:rFonts w:cs="Calibri"/>
                <w:bCs/>
                <w:shd w:val="clear" w:color="auto" w:fill="FFFFFF"/>
              </w:rPr>
            </w:pPr>
            <w:r w:rsidRPr="009E62E9">
              <w:rPr>
                <w:rFonts w:ascii="Wingdings 2" w:eastAsia="Wingdings 2" w:hAnsi="Wingdings 2" w:cs="Wingdings 2"/>
                <w:bCs/>
                <w:shd w:val="clear" w:color="auto" w:fill="FFFFFF"/>
              </w:rPr>
              <w:t>£</w:t>
            </w:r>
            <w:r w:rsidRPr="009E62E9">
              <w:rPr>
                <w:rFonts w:cs="Calibri"/>
                <w:bCs/>
                <w:shd w:val="clear" w:color="auto" w:fill="FFFFFF"/>
              </w:rPr>
              <w:t xml:space="preserve"> </w:t>
            </w:r>
            <w:r w:rsidR="000D235D" w:rsidRPr="009E62E9">
              <w:rPr>
                <w:rFonts w:cs="Calibri"/>
                <w:bCs/>
                <w:shd w:val="clear" w:color="auto" w:fill="FFFFFF"/>
              </w:rPr>
              <w:t>Management</w:t>
            </w:r>
          </w:p>
          <w:p w14:paraId="56C05116" w14:textId="2475359B" w:rsidR="00142B82" w:rsidRPr="009E62E9" w:rsidRDefault="00B559CE" w:rsidP="00B559CE">
            <w:pPr>
              <w:spacing w:after="0" w:line="240" w:lineRule="auto"/>
              <w:ind w:left="720"/>
              <w:textAlignment w:val="baseline"/>
              <w:rPr>
                <w:rFonts w:cs="Calibri"/>
                <w:bCs/>
                <w:shd w:val="clear" w:color="auto" w:fill="FFFFFF"/>
              </w:rPr>
            </w:pPr>
            <w:r w:rsidRPr="009E62E9">
              <w:rPr>
                <w:rFonts w:ascii="Wingdings 2" w:eastAsia="Wingdings 2" w:hAnsi="Wingdings 2" w:cs="Wingdings 2"/>
                <w:bCs/>
                <w:shd w:val="clear" w:color="auto" w:fill="FFFFFF"/>
              </w:rPr>
              <w:t>£</w:t>
            </w:r>
            <w:r w:rsidRPr="009E62E9">
              <w:rPr>
                <w:rFonts w:cs="Calibri"/>
                <w:bCs/>
                <w:shd w:val="clear" w:color="auto" w:fill="FFFFFF"/>
              </w:rPr>
              <w:t xml:space="preserve"> </w:t>
            </w:r>
            <w:r w:rsidR="00293C8A" w:rsidRPr="009E62E9">
              <w:rPr>
                <w:rFonts w:cs="Calibri"/>
                <w:bCs/>
                <w:shd w:val="clear" w:color="auto" w:fill="FFFFFF"/>
              </w:rPr>
              <w:t>Information Assurance</w:t>
            </w:r>
          </w:p>
          <w:p w14:paraId="602366B8" w14:textId="0CEAFB91" w:rsidR="00142B82" w:rsidRPr="009E62E9" w:rsidRDefault="00B559CE" w:rsidP="00B559CE">
            <w:pPr>
              <w:spacing w:after="0" w:line="240" w:lineRule="auto"/>
              <w:ind w:left="720"/>
              <w:textAlignment w:val="baseline"/>
              <w:rPr>
                <w:rFonts w:cs="Calibri"/>
                <w:bCs/>
                <w:bdr w:val="none" w:sz="0" w:space="0" w:color="auto" w:frame="1"/>
              </w:rPr>
            </w:pPr>
            <w:r w:rsidRPr="009E62E9">
              <w:rPr>
                <w:rFonts w:ascii="Wingdings 2" w:eastAsia="Wingdings 2" w:hAnsi="Wingdings 2" w:cs="Wingdings 2"/>
                <w:bCs/>
                <w:bdr w:val="none" w:sz="0" w:space="0" w:color="auto" w:frame="1"/>
              </w:rPr>
              <w:t>£</w:t>
            </w:r>
            <w:r w:rsidRPr="009E62E9">
              <w:rPr>
                <w:rFonts w:cs="Calibri"/>
                <w:bCs/>
                <w:bdr w:val="none" w:sz="0" w:space="0" w:color="auto" w:frame="1"/>
              </w:rPr>
              <w:t xml:space="preserve"> </w:t>
            </w:r>
            <w:r w:rsidR="00937232" w:rsidRPr="009E62E9">
              <w:rPr>
                <w:rFonts w:cs="Calibri"/>
                <w:bCs/>
                <w:bdr w:val="none" w:sz="0" w:space="0" w:color="auto" w:frame="1"/>
              </w:rPr>
              <w:t xml:space="preserve">IT </w:t>
            </w:r>
            <w:r w:rsidR="007913CE">
              <w:rPr>
                <w:rFonts w:cs="Calibri"/>
                <w:bCs/>
                <w:bdr w:val="none" w:sz="0" w:space="0" w:color="auto" w:frame="1"/>
              </w:rPr>
              <w:t>s</w:t>
            </w:r>
            <w:r w:rsidR="00937232" w:rsidRPr="009E62E9">
              <w:rPr>
                <w:rFonts w:cs="Calibri"/>
                <w:bCs/>
                <w:bdr w:val="none" w:sz="0" w:space="0" w:color="auto" w:frame="1"/>
              </w:rPr>
              <w:t>upport</w:t>
            </w:r>
          </w:p>
          <w:p w14:paraId="3ABDF20C" w14:textId="2AF3A591" w:rsidR="00937232" w:rsidRPr="009E62E9" w:rsidRDefault="00B559CE" w:rsidP="00B559CE">
            <w:pPr>
              <w:spacing w:after="0" w:line="240" w:lineRule="auto"/>
              <w:ind w:left="720"/>
              <w:textAlignment w:val="baseline"/>
              <w:rPr>
                <w:rFonts w:cs="Calibri"/>
                <w:bCs/>
                <w:bdr w:val="none" w:sz="0" w:space="0" w:color="auto" w:frame="1"/>
              </w:rPr>
            </w:pPr>
            <w:r w:rsidRPr="009E62E9">
              <w:rPr>
                <w:rFonts w:ascii="Wingdings 2" w:eastAsia="Wingdings 2" w:hAnsi="Wingdings 2" w:cs="Wingdings 2"/>
                <w:bCs/>
                <w:bdr w:val="none" w:sz="0" w:space="0" w:color="auto" w:frame="1"/>
              </w:rPr>
              <w:t>£</w:t>
            </w:r>
            <w:r w:rsidRPr="009E62E9">
              <w:rPr>
                <w:rFonts w:cs="Calibri"/>
                <w:bCs/>
                <w:bdr w:val="none" w:sz="0" w:space="0" w:color="auto" w:frame="1"/>
              </w:rPr>
              <w:t xml:space="preserve"> </w:t>
            </w:r>
            <w:r w:rsidR="00937232" w:rsidRPr="009E62E9">
              <w:rPr>
                <w:rFonts w:cs="Calibri"/>
                <w:bCs/>
                <w:bdr w:val="none" w:sz="0" w:space="0" w:color="auto" w:frame="1"/>
              </w:rPr>
              <w:t>Legal</w:t>
            </w:r>
          </w:p>
          <w:p w14:paraId="31BAD474" w14:textId="6C279955" w:rsidR="00142B82" w:rsidRPr="009E62E9" w:rsidRDefault="00B559CE" w:rsidP="00B559CE">
            <w:pPr>
              <w:spacing w:after="0" w:line="240" w:lineRule="auto"/>
              <w:ind w:left="720"/>
              <w:textAlignment w:val="baseline"/>
              <w:rPr>
                <w:rFonts w:cs="Calibri"/>
                <w:bCs/>
                <w:bdr w:val="none" w:sz="0" w:space="0" w:color="auto" w:frame="1"/>
              </w:rPr>
            </w:pPr>
            <w:r w:rsidRPr="009E62E9">
              <w:rPr>
                <w:rFonts w:ascii="Wingdings 2" w:eastAsia="Wingdings 2" w:hAnsi="Wingdings 2" w:cs="Wingdings 2"/>
                <w:bCs/>
                <w:bdr w:val="none" w:sz="0" w:space="0" w:color="auto" w:frame="1"/>
              </w:rPr>
              <w:t>£</w:t>
            </w:r>
            <w:r w:rsidRPr="009E62E9">
              <w:rPr>
                <w:rFonts w:cs="Calibri"/>
                <w:bCs/>
                <w:bdr w:val="none" w:sz="0" w:space="0" w:color="auto" w:frame="1"/>
              </w:rPr>
              <w:t xml:space="preserve"> </w:t>
            </w:r>
            <w:r w:rsidR="0060460D" w:rsidRPr="009E62E9">
              <w:rPr>
                <w:rFonts w:cs="Calibri"/>
                <w:bCs/>
                <w:bdr w:val="none" w:sz="0" w:space="0" w:color="auto" w:frame="1"/>
              </w:rPr>
              <w:t>Public Affairs</w:t>
            </w:r>
          </w:p>
          <w:p w14:paraId="1652A6CF" w14:textId="77777777" w:rsidR="00142B82" w:rsidRPr="009E62E9" w:rsidRDefault="00B559CE" w:rsidP="00B559CE">
            <w:pPr>
              <w:spacing w:after="0" w:line="240" w:lineRule="auto"/>
              <w:ind w:left="720"/>
              <w:textAlignment w:val="baseline"/>
              <w:rPr>
                <w:rFonts w:cs="Calibri"/>
                <w:bCs/>
                <w:bdr w:val="none" w:sz="0" w:space="0" w:color="auto" w:frame="1"/>
              </w:rPr>
            </w:pPr>
            <w:r w:rsidRPr="009E62E9">
              <w:rPr>
                <w:rFonts w:ascii="Wingdings 2" w:eastAsia="Wingdings 2" w:hAnsi="Wingdings 2" w:cs="Wingdings 2"/>
                <w:bCs/>
                <w:bdr w:val="none" w:sz="0" w:space="0" w:color="auto" w:frame="1"/>
              </w:rPr>
              <w:t>£</w:t>
            </w:r>
            <w:r w:rsidRPr="009E62E9">
              <w:rPr>
                <w:rFonts w:cs="Calibri"/>
                <w:bCs/>
                <w:bdr w:val="none" w:sz="0" w:space="0" w:color="auto" w:frame="1"/>
              </w:rPr>
              <w:t xml:space="preserve"> </w:t>
            </w:r>
            <w:r w:rsidR="00E12BE0" w:rsidRPr="009E62E9">
              <w:rPr>
                <w:rFonts w:cs="Calibri"/>
                <w:bCs/>
                <w:bdr w:val="none" w:sz="0" w:space="0" w:color="auto" w:frame="1"/>
              </w:rPr>
              <w:t>HR</w:t>
            </w:r>
          </w:p>
          <w:p w14:paraId="02D7CEEF" w14:textId="7A1AF74A" w:rsidR="007913CE" w:rsidRDefault="00B559CE" w:rsidP="007913CE">
            <w:pPr>
              <w:spacing w:after="0" w:line="240" w:lineRule="auto"/>
              <w:ind w:left="720"/>
              <w:textAlignment w:val="baseline"/>
              <w:rPr>
                <w:rFonts w:cs="Calibri"/>
                <w:bCs/>
                <w:u w:val="thick"/>
                <w:shd w:val="clear" w:color="auto" w:fill="FFFFFF"/>
              </w:rPr>
            </w:pPr>
            <w:r w:rsidRPr="009E62E9">
              <w:rPr>
                <w:rFonts w:ascii="Wingdings 2" w:eastAsia="Wingdings 2" w:hAnsi="Wingdings 2" w:cs="Wingdings 2"/>
                <w:bCs/>
                <w:shd w:val="clear" w:color="auto" w:fill="FFFFFF"/>
              </w:rPr>
              <w:t>£</w:t>
            </w:r>
            <w:r w:rsidRPr="009E62E9">
              <w:rPr>
                <w:rFonts w:cs="Calibri"/>
                <w:bCs/>
                <w:shd w:val="clear" w:color="auto" w:fill="FFFFFF"/>
              </w:rPr>
              <w:t xml:space="preserve"> </w:t>
            </w:r>
            <w:r w:rsidR="006A4AA2" w:rsidRPr="009E62E9">
              <w:rPr>
                <w:rFonts w:cs="Calibri"/>
                <w:bCs/>
                <w:shd w:val="clear" w:color="auto" w:fill="FFFFFF"/>
              </w:rPr>
              <w:t>Other</w:t>
            </w:r>
            <w:r w:rsidR="003A74B7">
              <w:rPr>
                <w:rFonts w:cs="Calibri"/>
                <w:bCs/>
                <w:shd w:val="clear" w:color="auto" w:fill="FFFFFF"/>
              </w:rPr>
              <w:t>:</w:t>
            </w:r>
          </w:p>
          <w:p w14:paraId="327EBC8A" w14:textId="77777777" w:rsidR="007913CE" w:rsidRPr="009E62E9" w:rsidRDefault="007913CE" w:rsidP="007913CE">
            <w:pPr>
              <w:spacing w:after="0" w:line="240" w:lineRule="auto"/>
              <w:ind w:left="720"/>
              <w:textAlignment w:val="baseline"/>
              <w:rPr>
                <w:rFonts w:cs="Calibri"/>
                <w:bCs/>
                <w:u w:val="thick"/>
                <w:shd w:val="clear" w:color="auto" w:fill="FFFFFF"/>
              </w:rPr>
            </w:pPr>
          </w:p>
          <w:p w14:paraId="5F1F813B" w14:textId="7BD615A8" w:rsidR="00937232" w:rsidRPr="009E62E9" w:rsidRDefault="00937232" w:rsidP="009E62E9">
            <w:pPr>
              <w:spacing w:after="0" w:line="240" w:lineRule="auto"/>
              <w:ind w:left="720"/>
              <w:textAlignment w:val="baseline"/>
              <w:rPr>
                <w:rFonts w:eastAsia="Times New Roman" w:cs="Segoe UI"/>
                <w:bCs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EB7D6" w14:textId="77777777" w:rsidR="00142B82" w:rsidRPr="00202513" w:rsidRDefault="00142B82" w:rsidP="00D818B4">
            <w:pPr>
              <w:pStyle w:val="paragraph"/>
              <w:spacing w:before="0" w:beforeAutospacing="0" w:after="0" w:afterAutospacing="0"/>
              <w:textAlignment w:val="baseline"/>
              <w:rPr>
                <w:rFonts w:ascii="IBM Plex Sans" w:hAnsi="IBM Plex Sans" w:cs="Calibri"/>
                <w:bCs/>
                <w:sz w:val="22"/>
                <w:szCs w:val="22"/>
              </w:rPr>
            </w:pPr>
          </w:p>
          <w:p w14:paraId="6944ABC3" w14:textId="778DD634" w:rsidR="00142B82" w:rsidRPr="009E62E9" w:rsidRDefault="00275F39" w:rsidP="00845A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IBM Plex Sans" w:hAnsi="IBM Plex Sans" w:cs="Calibri"/>
                <w:bCs/>
                <w:sz w:val="22"/>
                <w:szCs w:val="22"/>
              </w:rPr>
            </w:pPr>
            <w:r w:rsidRPr="009E62E9">
              <w:rPr>
                <w:rFonts w:ascii="Wingdings 2" w:eastAsia="Wingdings 2" w:hAnsi="Wingdings 2" w:cs="Wingdings 2"/>
                <w:bCs/>
                <w:sz w:val="22"/>
                <w:szCs w:val="22"/>
              </w:rPr>
              <w:t>£</w:t>
            </w:r>
            <w:r w:rsidRPr="009E62E9">
              <w:rPr>
                <w:rFonts w:ascii="IBM Plex Sans" w:hAnsi="IBM Plex Sans" w:cs="Calibri"/>
                <w:bCs/>
                <w:sz w:val="22"/>
                <w:szCs w:val="22"/>
              </w:rPr>
              <w:t xml:space="preserve"> </w:t>
            </w:r>
            <w:r w:rsidR="00D818B4" w:rsidRPr="009E62E9">
              <w:rPr>
                <w:rFonts w:ascii="IBM Plex Sans" w:hAnsi="IBM Plex Sans" w:cs="Calibri"/>
                <w:bCs/>
                <w:sz w:val="22"/>
                <w:szCs w:val="22"/>
              </w:rPr>
              <w:t>External/</w:t>
            </w:r>
            <w:r w:rsidR="007913CE">
              <w:rPr>
                <w:rFonts w:ascii="IBM Plex Sans" w:hAnsi="IBM Plex Sans" w:cs="Calibri"/>
                <w:bCs/>
                <w:sz w:val="22"/>
                <w:szCs w:val="22"/>
              </w:rPr>
              <w:t>r</w:t>
            </w:r>
            <w:r w:rsidR="00D818B4" w:rsidRPr="009E62E9">
              <w:rPr>
                <w:rFonts w:ascii="IBM Plex Sans" w:hAnsi="IBM Plex Sans" w:cs="Calibri"/>
                <w:bCs/>
                <w:sz w:val="22"/>
                <w:szCs w:val="22"/>
              </w:rPr>
              <w:t>emovable Data</w:t>
            </w:r>
          </w:p>
          <w:p w14:paraId="7AD1004A" w14:textId="7EB462F1" w:rsidR="00D818B4" w:rsidRPr="009E62E9" w:rsidRDefault="00275F39" w:rsidP="00845A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9E62E9">
              <w:rPr>
                <w:rFonts w:ascii="Wingdings 2" w:eastAsia="Wingdings 2" w:hAnsi="Wingdings 2" w:cs="Wingdings 2"/>
                <w:bCs/>
                <w:color w:val="000000"/>
                <w:sz w:val="22"/>
                <w:szCs w:val="22"/>
                <w:bdr w:val="none" w:sz="0" w:space="0" w:color="auto" w:frame="1"/>
              </w:rPr>
              <w:t>£</w:t>
            </w:r>
            <w:r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541D96"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>Attrition</w:t>
            </w:r>
          </w:p>
          <w:p w14:paraId="123C22B8" w14:textId="6ACA9862" w:rsidR="00541D96" w:rsidRPr="009E62E9" w:rsidRDefault="00275F39" w:rsidP="00845A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9E62E9">
              <w:rPr>
                <w:rFonts w:ascii="Wingdings 2" w:eastAsia="Wingdings 2" w:hAnsi="Wingdings 2" w:cs="Wingdings 2"/>
                <w:bCs/>
                <w:color w:val="000000"/>
                <w:sz w:val="22"/>
                <w:szCs w:val="22"/>
                <w:bdr w:val="none" w:sz="0" w:space="0" w:color="auto" w:frame="1"/>
              </w:rPr>
              <w:t>£</w:t>
            </w:r>
            <w:r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541D96"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>Web</w:t>
            </w:r>
          </w:p>
          <w:p w14:paraId="18D239FF" w14:textId="60F9B88D" w:rsidR="00541D96" w:rsidRPr="009E62E9" w:rsidRDefault="00275F39" w:rsidP="00845A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IBM Plex Sans" w:hAnsi="IBM Plex Sans" w:cs="Calibri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9E62E9">
              <w:rPr>
                <w:rFonts w:ascii="Wingdings 2" w:eastAsia="Wingdings 2" w:hAnsi="Wingdings 2" w:cs="Wingdings 2"/>
                <w:bCs/>
                <w:color w:val="000000"/>
                <w:sz w:val="22"/>
                <w:szCs w:val="22"/>
                <w:shd w:val="clear" w:color="auto" w:fill="FFFFFF"/>
              </w:rPr>
              <w:t>£</w:t>
            </w:r>
            <w:r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6A3886"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shd w:val="clear" w:color="auto" w:fill="FFFFFF"/>
              </w:rPr>
              <w:t>Email</w:t>
            </w:r>
          </w:p>
          <w:p w14:paraId="64033268" w14:textId="4BEBCEF7" w:rsidR="006A3886" w:rsidRPr="009E62E9" w:rsidRDefault="00275F39" w:rsidP="00845A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9E62E9">
              <w:rPr>
                <w:rFonts w:ascii="Wingdings 2" w:eastAsia="Wingdings 2" w:hAnsi="Wingdings 2" w:cs="Wingdings 2"/>
                <w:bCs/>
                <w:color w:val="000000"/>
                <w:sz w:val="22"/>
                <w:szCs w:val="22"/>
                <w:bdr w:val="none" w:sz="0" w:space="0" w:color="auto" w:frame="1"/>
              </w:rPr>
              <w:t>£</w:t>
            </w:r>
            <w:r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6A3886"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>Impersonation</w:t>
            </w:r>
          </w:p>
          <w:p w14:paraId="478E30BF" w14:textId="45D93DF3" w:rsidR="006A3886" w:rsidRPr="009E62E9" w:rsidRDefault="00275F39" w:rsidP="00845A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9E62E9">
              <w:rPr>
                <w:rFonts w:ascii="Wingdings 2" w:eastAsia="Wingdings 2" w:hAnsi="Wingdings 2" w:cs="Wingdings 2"/>
                <w:bCs/>
                <w:color w:val="000000"/>
                <w:sz w:val="22"/>
                <w:szCs w:val="22"/>
                <w:bdr w:val="none" w:sz="0" w:space="0" w:color="auto" w:frame="1"/>
              </w:rPr>
              <w:t>£</w:t>
            </w:r>
            <w:r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Loss or </w:t>
            </w:r>
            <w:r w:rsidR="007913CE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>t</w:t>
            </w:r>
            <w:r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heft of </w:t>
            </w:r>
            <w:r w:rsidR="007913CE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>e</w:t>
            </w:r>
            <w:r w:rsidRPr="009E62E9">
              <w:rPr>
                <w:rFonts w:ascii="IBM Plex Sans" w:hAnsi="IBM Plex Sans" w:cs="Calibri"/>
                <w:bCs/>
                <w:color w:val="000000"/>
                <w:sz w:val="22"/>
                <w:szCs w:val="22"/>
                <w:bdr w:val="none" w:sz="0" w:space="0" w:color="auto" w:frame="1"/>
              </w:rPr>
              <w:t>quipment</w:t>
            </w:r>
          </w:p>
          <w:p w14:paraId="1FE5291F" w14:textId="3A2A74D6" w:rsidR="00E27A14" w:rsidRPr="007913CE" w:rsidRDefault="00E27A14" w:rsidP="00845A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IBM Plex Sans" w:hAnsi="IBM Plex Sans" w:cs="Calibri"/>
                <w:bCs/>
                <w:sz w:val="22"/>
                <w:szCs w:val="22"/>
                <w:shd w:val="clear" w:color="auto" w:fill="FFFFFF"/>
              </w:rPr>
            </w:pPr>
            <w:r w:rsidRPr="009E62E9">
              <w:rPr>
                <w:rFonts w:ascii="Wingdings 2" w:eastAsia="Wingdings 2" w:hAnsi="Wingdings 2" w:cs="Wingdings 2"/>
                <w:bCs/>
                <w:sz w:val="22"/>
                <w:szCs w:val="22"/>
                <w:shd w:val="clear" w:color="auto" w:fill="FFFFFF"/>
              </w:rPr>
              <w:t>£</w:t>
            </w:r>
            <w:r w:rsidRPr="009E62E9">
              <w:rPr>
                <w:rFonts w:ascii="IBM Plex Sans" w:hAnsi="IBM Plex Sans" w:cs="Calibri"/>
                <w:bCs/>
                <w:sz w:val="22"/>
                <w:szCs w:val="22"/>
                <w:shd w:val="clear" w:color="auto" w:fill="FFFFFF"/>
              </w:rPr>
              <w:t xml:space="preserve"> Other</w:t>
            </w:r>
            <w:r w:rsidR="007913CE" w:rsidRPr="007913CE">
              <w:rPr>
                <w:rFonts w:ascii="IBM Plex Sans" w:hAnsi="IBM Plex Sans" w:cs="Calibri"/>
                <w:bCs/>
                <w:sz w:val="22"/>
                <w:szCs w:val="22"/>
                <w:shd w:val="clear" w:color="auto" w:fill="FFFFFF"/>
              </w:rPr>
              <w:t>:</w:t>
            </w:r>
          </w:p>
          <w:p w14:paraId="24D722EE" w14:textId="77777777" w:rsidR="007913CE" w:rsidRPr="009E62E9" w:rsidRDefault="007913CE" w:rsidP="00845A24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IBM Plex Sans" w:hAnsi="IBM Plex Sans" w:cs="Segoe UI"/>
                <w:bCs/>
                <w:sz w:val="22"/>
                <w:szCs w:val="22"/>
              </w:rPr>
            </w:pPr>
          </w:p>
          <w:p w14:paraId="5CB07429" w14:textId="52156CBF" w:rsidR="00CF331D" w:rsidRPr="009E62E9" w:rsidRDefault="00CF331D" w:rsidP="00CF331D">
            <w:pPr>
              <w:spacing w:after="0" w:line="240" w:lineRule="auto"/>
              <w:jc w:val="center"/>
              <w:textAlignment w:val="baseline"/>
              <w:rPr>
                <w:rFonts w:eastAsia="Times New Roman" w:cs="Segoe UI"/>
                <w:bCs/>
              </w:rPr>
            </w:pPr>
          </w:p>
        </w:tc>
      </w:tr>
    </w:tbl>
    <w:p w14:paraId="374C70CC" w14:textId="77777777" w:rsidR="00E25F97" w:rsidRDefault="00E25F97">
      <w:pPr>
        <w:rPr>
          <w:rFonts w:eastAsiaTheme="majorEastAsia" w:cstheme="majorBidi"/>
          <w:b/>
          <w:bCs/>
          <w:sz w:val="40"/>
          <w:szCs w:val="40"/>
          <w:shd w:val="clear" w:color="auto" w:fill="FFFFFF"/>
        </w:rPr>
      </w:pPr>
      <w:r>
        <w:br w:type="page"/>
      </w:r>
    </w:p>
    <w:p w14:paraId="3C4F10AC" w14:textId="3169FA2B" w:rsidR="00142B82" w:rsidRDefault="008E5BD5" w:rsidP="009D5A8E">
      <w:pPr>
        <w:pStyle w:val="Heading1"/>
        <w:rPr>
          <w:rFonts w:ascii="Calibri" w:hAnsi="Calibri" w:cs="Calibri"/>
          <w:sz w:val="32"/>
          <w:szCs w:val="32"/>
        </w:rPr>
      </w:pPr>
      <w:r w:rsidRPr="00C87FCC">
        <w:lastRenderedPageBreak/>
        <w:t xml:space="preserve">Incident </w:t>
      </w:r>
      <w:r w:rsidR="008C4DA1">
        <w:t>Response</w:t>
      </w:r>
      <w:r w:rsidR="008C4DA1" w:rsidRPr="00C87FCC">
        <w:t xml:space="preserve"> </w:t>
      </w:r>
      <w:r w:rsidRPr="00C87FCC">
        <w:t>Checklist</w:t>
      </w:r>
    </w:p>
    <w:p w14:paraId="4660BA73" w14:textId="11E73FAD" w:rsidR="05BDA46F" w:rsidRDefault="009E62E9" w:rsidP="009E62E9">
      <w:pPr>
        <w:rPr>
          <w:rFonts w:cs="Calibri"/>
        </w:rPr>
      </w:pPr>
      <w:r>
        <w:t>U</w:t>
      </w:r>
      <w:r w:rsidR="0012585B">
        <w:t>se th</w:t>
      </w:r>
      <w:r>
        <w:t>is</w:t>
      </w:r>
      <w:r w:rsidR="0012585B">
        <w:t xml:space="preserve"> c</w:t>
      </w:r>
      <w:r w:rsidR="007913CE">
        <w:t>hecklist</w:t>
      </w:r>
      <w:r w:rsidR="0012585B">
        <w:t xml:space="preserve"> to track completion of steps in each phase of the response</w:t>
      </w:r>
      <w:r w:rsidR="7A75DDAE" w:rsidRPr="7753D9AC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23"/>
        <w:gridCol w:w="3880"/>
        <w:gridCol w:w="2829"/>
        <w:gridCol w:w="2798"/>
      </w:tblGrid>
      <w:tr w:rsidR="002825DB" w:rsidRPr="00343CCD" w14:paraId="654271DE" w14:textId="77777777" w:rsidTr="009E62E9">
        <w:tc>
          <w:tcPr>
            <w:tcW w:w="2723" w:type="dxa"/>
            <w:shd w:val="clear" w:color="auto" w:fill="0F62FE"/>
          </w:tcPr>
          <w:p w14:paraId="0FBC19BA" w14:textId="62D61C91" w:rsidR="00343CCD" w:rsidRPr="003612A7" w:rsidRDefault="00343CCD" w:rsidP="003E6B36">
            <w:pPr>
              <w:pStyle w:val="TableHeading1"/>
              <w:rPr>
                <w:rFonts w:eastAsiaTheme="minorHAnsi" w:cstheme="minorBidi"/>
                <w:sz w:val="22"/>
                <w:szCs w:val="22"/>
              </w:rPr>
            </w:pPr>
            <w:r w:rsidRPr="773EFC1D">
              <w:t>Phase</w:t>
            </w:r>
          </w:p>
        </w:tc>
        <w:tc>
          <w:tcPr>
            <w:tcW w:w="3880" w:type="dxa"/>
            <w:shd w:val="clear" w:color="auto" w:fill="0F62FE"/>
          </w:tcPr>
          <w:p w14:paraId="3E33B769" w14:textId="7D320474" w:rsidR="00343CCD" w:rsidRPr="003612A7" w:rsidRDefault="00343CCD" w:rsidP="003E6B36">
            <w:pPr>
              <w:pStyle w:val="TableHeading1"/>
            </w:pPr>
            <w:r w:rsidRPr="003612A7">
              <w:t>Action</w:t>
            </w:r>
          </w:p>
        </w:tc>
        <w:tc>
          <w:tcPr>
            <w:tcW w:w="2829" w:type="dxa"/>
            <w:shd w:val="clear" w:color="auto" w:fill="0F62FE"/>
          </w:tcPr>
          <w:p w14:paraId="61100285" w14:textId="550963C5" w:rsidR="00343CCD" w:rsidRPr="003612A7" w:rsidRDefault="00343CCD" w:rsidP="003E6B36">
            <w:pPr>
              <w:pStyle w:val="TableHeading1"/>
            </w:pPr>
            <w:r w:rsidRPr="003612A7">
              <w:t>Team or Team Member(s)</w:t>
            </w:r>
          </w:p>
        </w:tc>
        <w:tc>
          <w:tcPr>
            <w:tcW w:w="2798" w:type="dxa"/>
            <w:shd w:val="clear" w:color="auto" w:fill="0F62FE"/>
          </w:tcPr>
          <w:p w14:paraId="3E3D9E2E" w14:textId="70F0D02F" w:rsidR="00343CCD" w:rsidRPr="003612A7" w:rsidRDefault="00343CCD" w:rsidP="003E6B36">
            <w:pPr>
              <w:pStyle w:val="TableHeading1"/>
            </w:pPr>
            <w:r w:rsidRPr="003612A7">
              <w:t>Day/Time of Action</w:t>
            </w:r>
          </w:p>
        </w:tc>
      </w:tr>
      <w:tr w:rsidR="003B7B52" w14:paraId="250BF1DB" w14:textId="77777777" w:rsidTr="009E62E9">
        <w:tc>
          <w:tcPr>
            <w:tcW w:w="2723" w:type="dxa"/>
            <w:vMerge w:val="restart"/>
            <w:shd w:val="clear" w:color="auto" w:fill="F2F2F2" w:themeFill="background1" w:themeFillShade="F2"/>
          </w:tcPr>
          <w:p w14:paraId="1BEDF964" w14:textId="762EDB1C" w:rsidR="003B7B52" w:rsidRPr="007314F9" w:rsidRDefault="003B7B52" w:rsidP="003E6B36">
            <w:pPr>
              <w:pStyle w:val="TableHeading2"/>
              <w:rPr>
                <w:sz w:val="22"/>
                <w:szCs w:val="22"/>
              </w:rPr>
            </w:pPr>
            <w:r w:rsidRPr="007314F9">
              <w:t>Detection and Analysis</w:t>
            </w:r>
          </w:p>
        </w:tc>
        <w:tc>
          <w:tcPr>
            <w:tcW w:w="3880" w:type="dxa"/>
            <w:shd w:val="clear" w:color="auto" w:fill="F2F2F2" w:themeFill="background1" w:themeFillShade="F2"/>
          </w:tcPr>
          <w:p w14:paraId="13853238" w14:textId="0291595E" w:rsidR="003B7B52" w:rsidRDefault="003B7B52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Describe how the incident was discovered, including w</w:t>
            </w:r>
            <w:r w:rsidRPr="002825DB">
              <w:rPr>
                <w:rFonts w:cs="Calibri"/>
              </w:rPr>
              <w:t xml:space="preserve">here </w:t>
            </w:r>
            <w:r>
              <w:rPr>
                <w:rFonts w:cs="Calibri"/>
              </w:rPr>
              <w:t xml:space="preserve">it </w:t>
            </w:r>
            <w:r w:rsidRPr="002825DB">
              <w:rPr>
                <w:rFonts w:cs="Calibri"/>
              </w:rPr>
              <w:t>occur</w:t>
            </w:r>
            <w:r>
              <w:rPr>
                <w:rFonts w:cs="Calibri"/>
              </w:rPr>
              <w:t>red and who reported it.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77E44D5B" w14:textId="77777777" w:rsidR="003B7B52" w:rsidRPr="007314F9" w:rsidRDefault="003B7B52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0C78930C" w14:textId="77777777" w:rsidR="003B7B52" w:rsidRPr="007314F9" w:rsidRDefault="003B7B52" w:rsidP="009E62E9">
            <w:pPr>
              <w:pStyle w:val="TableDataCell"/>
            </w:pPr>
          </w:p>
        </w:tc>
      </w:tr>
      <w:tr w:rsidR="003B7B52" w14:paraId="544A6251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150CD3EE" w14:textId="77777777" w:rsidR="003B7B52" w:rsidRPr="002825DB" w:rsidRDefault="003B7B52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282B17F8" w14:textId="49D66A5C" w:rsidR="003B7B52" w:rsidRDefault="003B7B52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Determine the incident’s scope, including its impacts on security and business.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18435C03" w14:textId="77777777" w:rsidR="003B7B52" w:rsidRPr="007314F9" w:rsidRDefault="003B7B52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6B2DAD8A" w14:textId="77777777" w:rsidR="003B7B52" w:rsidRPr="007314F9" w:rsidRDefault="003B7B52" w:rsidP="009E62E9">
            <w:pPr>
              <w:pStyle w:val="TableDataCell"/>
            </w:pPr>
          </w:p>
        </w:tc>
      </w:tr>
      <w:tr w:rsidR="003B7B52" w14:paraId="3466A763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67366A5E" w14:textId="77777777" w:rsidR="003B7B52" w:rsidRPr="002825DB" w:rsidRDefault="003B7B52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2D9B991A" w14:textId="2AC6F3F8" w:rsidR="003B7B52" w:rsidRDefault="003B7B52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Report the incident to all appropriate parties.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4D4513" w14:textId="77777777" w:rsidR="003B7B52" w:rsidRPr="007314F9" w:rsidRDefault="003B7B52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405FC072" w14:textId="77777777" w:rsidR="003B7B52" w:rsidRPr="007314F9" w:rsidRDefault="003B7B52" w:rsidP="009E62E9">
            <w:pPr>
              <w:pStyle w:val="TableDataCell"/>
            </w:pPr>
          </w:p>
        </w:tc>
      </w:tr>
      <w:tr w:rsidR="00941771" w14:paraId="25607496" w14:textId="77777777" w:rsidTr="002E2F96">
        <w:tc>
          <w:tcPr>
            <w:tcW w:w="2723" w:type="dxa"/>
            <w:vMerge w:val="restart"/>
          </w:tcPr>
          <w:p w14:paraId="7BDD680E" w14:textId="1E96DF1B" w:rsidR="00941771" w:rsidRPr="002825DB" w:rsidRDefault="00941771" w:rsidP="003E6B36">
            <w:pPr>
              <w:pStyle w:val="TableHeading2"/>
              <w:rPr>
                <w:rFonts w:cs="Calibri"/>
                <w:sz w:val="22"/>
                <w:szCs w:val="22"/>
              </w:rPr>
            </w:pPr>
            <w:r w:rsidRPr="002825DB">
              <w:rPr>
                <w:rFonts w:cs="Calibri"/>
              </w:rPr>
              <w:t>Containment</w:t>
            </w:r>
          </w:p>
        </w:tc>
        <w:tc>
          <w:tcPr>
            <w:tcW w:w="3880" w:type="dxa"/>
          </w:tcPr>
          <w:p w14:paraId="77EDDE96" w14:textId="035BC65E" w:rsidR="00941771" w:rsidRPr="7753D9AC" w:rsidRDefault="00941771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Isolate the problem if possible.</w:t>
            </w:r>
          </w:p>
        </w:tc>
        <w:tc>
          <w:tcPr>
            <w:tcW w:w="2829" w:type="dxa"/>
          </w:tcPr>
          <w:p w14:paraId="7B812A48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</w:tcPr>
          <w:p w14:paraId="25400DDC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000CA2BC" w14:textId="77777777" w:rsidTr="00AD1A57">
        <w:tc>
          <w:tcPr>
            <w:tcW w:w="2723" w:type="dxa"/>
            <w:vMerge/>
          </w:tcPr>
          <w:p w14:paraId="57F06602" w14:textId="323E6434" w:rsidR="00941771" w:rsidRPr="002825DB" w:rsidRDefault="00941771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3C8631B8" w14:textId="187E605D" w:rsidR="00941771" w:rsidRDefault="00941771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>Change all passwords.</w:t>
            </w:r>
          </w:p>
        </w:tc>
        <w:tc>
          <w:tcPr>
            <w:tcW w:w="2829" w:type="dxa"/>
          </w:tcPr>
          <w:p w14:paraId="032E3544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</w:tcPr>
          <w:p w14:paraId="1EBE27E1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6FB1D1AB" w14:textId="77777777" w:rsidTr="00AD1A57">
        <w:tc>
          <w:tcPr>
            <w:tcW w:w="2723" w:type="dxa"/>
            <w:vMerge/>
          </w:tcPr>
          <w:p w14:paraId="2838BCCF" w14:textId="77777777" w:rsidR="00941771" w:rsidRPr="002825DB" w:rsidRDefault="00941771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23B00726" w14:textId="3F3430B3" w:rsidR="00941771" w:rsidRDefault="00941771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>Protect evidence</w:t>
            </w:r>
            <w:r>
              <w:rPr>
                <w:rFonts w:cs="Calibri"/>
              </w:rPr>
              <w:t xml:space="preserve"> and </w:t>
            </w:r>
            <w:r w:rsidRPr="7753D9AC">
              <w:rPr>
                <w:rFonts w:cs="Calibri"/>
              </w:rPr>
              <w:t xml:space="preserve">backup </w:t>
            </w:r>
            <w:r>
              <w:rPr>
                <w:rFonts w:cs="Calibri"/>
              </w:rPr>
              <w:t>compromised</w:t>
            </w:r>
            <w:r w:rsidRPr="7753D9AC">
              <w:rPr>
                <w:rFonts w:cs="Calibri"/>
              </w:rPr>
              <w:t xml:space="preserve"> systems.</w:t>
            </w:r>
          </w:p>
        </w:tc>
        <w:tc>
          <w:tcPr>
            <w:tcW w:w="2829" w:type="dxa"/>
          </w:tcPr>
          <w:p w14:paraId="330F0E41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</w:tcPr>
          <w:p w14:paraId="63A29819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1BE17AA7" w14:textId="77777777" w:rsidTr="00AD1A57">
        <w:tc>
          <w:tcPr>
            <w:tcW w:w="2723" w:type="dxa"/>
            <w:vMerge/>
          </w:tcPr>
          <w:p w14:paraId="3FC1172A" w14:textId="77777777" w:rsidR="00941771" w:rsidRPr="002825DB" w:rsidRDefault="00941771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6DA28291" w14:textId="503D0A49" w:rsidR="00941771" w:rsidRDefault="00941771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Create forensic copies of evidence.</w:t>
            </w:r>
          </w:p>
        </w:tc>
        <w:tc>
          <w:tcPr>
            <w:tcW w:w="2829" w:type="dxa"/>
          </w:tcPr>
          <w:p w14:paraId="0E77EC7D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</w:tcPr>
          <w:p w14:paraId="29B83BF9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2B6EF371" w14:textId="77777777" w:rsidTr="00AD1A57">
        <w:tc>
          <w:tcPr>
            <w:tcW w:w="2723" w:type="dxa"/>
            <w:vMerge/>
          </w:tcPr>
          <w:p w14:paraId="6115157C" w14:textId="77777777" w:rsidR="00941771" w:rsidRPr="002825DB" w:rsidRDefault="00941771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00E61D87" w14:textId="7F8B884A" w:rsidR="00941771" w:rsidRDefault="00941771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 xml:space="preserve">Notify </w:t>
            </w:r>
            <w:r>
              <w:rPr>
                <w:rFonts w:cs="Calibri"/>
              </w:rPr>
              <w:t>employees about breach</w:t>
            </w:r>
            <w:r w:rsidRPr="7753D9AC">
              <w:rPr>
                <w:rFonts w:cs="Calibri"/>
              </w:rPr>
              <w:t xml:space="preserve"> containment.</w:t>
            </w:r>
          </w:p>
        </w:tc>
        <w:tc>
          <w:tcPr>
            <w:tcW w:w="2829" w:type="dxa"/>
          </w:tcPr>
          <w:p w14:paraId="1707719A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</w:tcPr>
          <w:p w14:paraId="139DE536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2C810902" w14:textId="77777777" w:rsidTr="009E62E9">
        <w:tc>
          <w:tcPr>
            <w:tcW w:w="2723" w:type="dxa"/>
            <w:vMerge w:val="restart"/>
            <w:shd w:val="clear" w:color="auto" w:fill="F2F2F2" w:themeFill="background1" w:themeFillShade="F2"/>
          </w:tcPr>
          <w:p w14:paraId="7E2D6792" w14:textId="156816D8" w:rsidR="00941771" w:rsidRDefault="00941771" w:rsidP="003E6B36">
            <w:pPr>
              <w:pStyle w:val="TableHeading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</w:rPr>
              <w:t>Eradication</w:t>
            </w:r>
          </w:p>
        </w:tc>
        <w:tc>
          <w:tcPr>
            <w:tcW w:w="3880" w:type="dxa"/>
            <w:shd w:val="clear" w:color="auto" w:fill="F2F2F2" w:themeFill="background1" w:themeFillShade="F2"/>
          </w:tcPr>
          <w:p w14:paraId="2EEB547C" w14:textId="1BE48B0F" w:rsidR="00941771" w:rsidRPr="7753D9AC" w:rsidRDefault="00941771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Determine if eradication is possible.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1514EA0C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5E638F65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4D397C46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6020C345" w14:textId="0BC81206" w:rsidR="00941771" w:rsidRDefault="00941771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63F01132" w14:textId="7609296E" w:rsidR="00941771" w:rsidRPr="7753D9AC" w:rsidRDefault="00941771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Find and address all exploited vulnerabilities.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0BD090EC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5B545479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6010A3AA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74A0735C" w14:textId="769E8A0B" w:rsidR="00941771" w:rsidRPr="002825DB" w:rsidRDefault="00941771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4A768DA1" w14:textId="290A5C0B" w:rsidR="00941771" w:rsidRDefault="00941771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>Close firewall ports and connections.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1242C96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23CF3AD4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0685CDFB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7963A9FD" w14:textId="77777777" w:rsidR="00941771" w:rsidRPr="002825DB" w:rsidRDefault="00941771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7F7D4B10" w14:textId="26F889A7" w:rsidR="00941771" w:rsidRDefault="00941771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Remove malware and other artifacts of the attack.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04B5A445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476B9D7E" w14:textId="77777777" w:rsidR="00941771" w:rsidRPr="007314F9" w:rsidRDefault="00941771" w:rsidP="009E62E9">
            <w:pPr>
              <w:pStyle w:val="TableDataCell"/>
            </w:pPr>
          </w:p>
        </w:tc>
      </w:tr>
      <w:tr w:rsidR="00941771" w14:paraId="01C5677A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0730FA45" w14:textId="77777777" w:rsidR="00941771" w:rsidRPr="002825DB" w:rsidRDefault="00941771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7CFDEB00" w14:textId="7CEDF94A" w:rsidR="00941771" w:rsidRPr="7753D9AC" w:rsidRDefault="00941771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>Test devices for removal of malware.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42D64B6" w14:textId="77777777" w:rsidR="00941771" w:rsidRPr="007314F9" w:rsidRDefault="00941771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4C7D662B" w14:textId="77777777" w:rsidR="00941771" w:rsidRPr="007314F9" w:rsidRDefault="00941771" w:rsidP="009E62E9">
            <w:pPr>
              <w:pStyle w:val="TableDataCell"/>
            </w:pPr>
          </w:p>
        </w:tc>
      </w:tr>
      <w:tr w:rsidR="0028432C" w14:paraId="28FD7709" w14:textId="77777777" w:rsidTr="00B24F50">
        <w:tc>
          <w:tcPr>
            <w:tcW w:w="2723" w:type="dxa"/>
            <w:vMerge w:val="restart"/>
          </w:tcPr>
          <w:p w14:paraId="258F4772" w14:textId="2112E585" w:rsidR="0028432C" w:rsidRPr="002825DB" w:rsidRDefault="0028432C" w:rsidP="003E6B36">
            <w:pPr>
              <w:pStyle w:val="TableHeading2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</w:rPr>
              <w:t>Recovery</w:t>
            </w:r>
          </w:p>
        </w:tc>
        <w:tc>
          <w:tcPr>
            <w:tcW w:w="3880" w:type="dxa"/>
          </w:tcPr>
          <w:p w14:paraId="04B4AE7E" w14:textId="27C58E6E" w:rsidR="0028432C" w:rsidRDefault="0028432C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Patch and harden affected systems.</w:t>
            </w:r>
          </w:p>
        </w:tc>
        <w:tc>
          <w:tcPr>
            <w:tcW w:w="2829" w:type="dxa"/>
          </w:tcPr>
          <w:p w14:paraId="2296D597" w14:textId="77777777" w:rsidR="0028432C" w:rsidRPr="007314F9" w:rsidRDefault="0028432C" w:rsidP="009E62E9">
            <w:pPr>
              <w:pStyle w:val="TableDataCell"/>
            </w:pPr>
          </w:p>
        </w:tc>
        <w:tc>
          <w:tcPr>
            <w:tcW w:w="2798" w:type="dxa"/>
          </w:tcPr>
          <w:p w14:paraId="0F8CD614" w14:textId="77777777" w:rsidR="0028432C" w:rsidRPr="007314F9" w:rsidRDefault="0028432C" w:rsidP="009E62E9">
            <w:pPr>
              <w:pStyle w:val="TableDataCell"/>
            </w:pPr>
          </w:p>
        </w:tc>
      </w:tr>
      <w:tr w:rsidR="0028432C" w14:paraId="0F7AD10C" w14:textId="77777777" w:rsidTr="00B24F50">
        <w:tc>
          <w:tcPr>
            <w:tcW w:w="2723" w:type="dxa"/>
            <w:vMerge/>
          </w:tcPr>
          <w:p w14:paraId="1ECC6FD6" w14:textId="77777777" w:rsidR="0028432C" w:rsidRPr="002825DB" w:rsidRDefault="0028432C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23EB16DF" w14:textId="583F0828" w:rsidR="0028432C" w:rsidRDefault="0028432C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>Close network access</w:t>
            </w:r>
            <w:r>
              <w:rPr>
                <w:rFonts w:cs="Calibri"/>
              </w:rPr>
              <w:t>.</w:t>
            </w:r>
          </w:p>
        </w:tc>
        <w:tc>
          <w:tcPr>
            <w:tcW w:w="2829" w:type="dxa"/>
          </w:tcPr>
          <w:p w14:paraId="0CD93059" w14:textId="77777777" w:rsidR="0028432C" w:rsidRPr="007314F9" w:rsidRDefault="0028432C" w:rsidP="009E62E9">
            <w:pPr>
              <w:pStyle w:val="TableDataCell"/>
            </w:pPr>
          </w:p>
        </w:tc>
        <w:tc>
          <w:tcPr>
            <w:tcW w:w="2798" w:type="dxa"/>
          </w:tcPr>
          <w:p w14:paraId="032076D1" w14:textId="77777777" w:rsidR="0028432C" w:rsidRPr="007314F9" w:rsidRDefault="0028432C" w:rsidP="009E62E9">
            <w:pPr>
              <w:pStyle w:val="TableDataCell"/>
            </w:pPr>
          </w:p>
        </w:tc>
      </w:tr>
      <w:tr w:rsidR="0028432C" w14:paraId="152BC30B" w14:textId="77777777" w:rsidTr="002E2F96">
        <w:tc>
          <w:tcPr>
            <w:tcW w:w="2723" w:type="dxa"/>
            <w:vMerge/>
          </w:tcPr>
          <w:p w14:paraId="31A7B697" w14:textId="77777777" w:rsidR="0028432C" w:rsidRPr="002825DB" w:rsidRDefault="0028432C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0A149D1E" w14:textId="45E58E4A" w:rsidR="0028432C" w:rsidRPr="7753D9AC" w:rsidRDefault="0028432C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Return affected systems to an operational state.</w:t>
            </w:r>
          </w:p>
        </w:tc>
        <w:tc>
          <w:tcPr>
            <w:tcW w:w="2829" w:type="dxa"/>
          </w:tcPr>
          <w:p w14:paraId="53DC4EB4" w14:textId="77777777" w:rsidR="0028432C" w:rsidRPr="007314F9" w:rsidRDefault="0028432C" w:rsidP="009E62E9">
            <w:pPr>
              <w:pStyle w:val="TableDataCell"/>
            </w:pPr>
          </w:p>
        </w:tc>
        <w:tc>
          <w:tcPr>
            <w:tcW w:w="2798" w:type="dxa"/>
          </w:tcPr>
          <w:p w14:paraId="45C4422E" w14:textId="77777777" w:rsidR="0028432C" w:rsidRPr="007314F9" w:rsidRDefault="0028432C" w:rsidP="009E62E9">
            <w:pPr>
              <w:pStyle w:val="TableDataCell"/>
            </w:pPr>
          </w:p>
        </w:tc>
      </w:tr>
      <w:tr w:rsidR="0028432C" w14:paraId="30D7038C" w14:textId="77777777" w:rsidTr="002E2F96">
        <w:tc>
          <w:tcPr>
            <w:tcW w:w="2723" w:type="dxa"/>
            <w:vMerge/>
          </w:tcPr>
          <w:p w14:paraId="1C4FBBCC" w14:textId="77777777" w:rsidR="0028432C" w:rsidRPr="002825DB" w:rsidRDefault="0028432C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39E434F6" w14:textId="3B7D5E15" w:rsidR="0028432C" w:rsidRPr="7753D9AC" w:rsidRDefault="0028432C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Test affected systems for normal functioning.</w:t>
            </w:r>
          </w:p>
        </w:tc>
        <w:tc>
          <w:tcPr>
            <w:tcW w:w="2829" w:type="dxa"/>
          </w:tcPr>
          <w:p w14:paraId="02D08F85" w14:textId="77777777" w:rsidR="0028432C" w:rsidRPr="007314F9" w:rsidRDefault="0028432C" w:rsidP="009E62E9">
            <w:pPr>
              <w:pStyle w:val="TableDataCell"/>
            </w:pPr>
          </w:p>
        </w:tc>
        <w:tc>
          <w:tcPr>
            <w:tcW w:w="2798" w:type="dxa"/>
          </w:tcPr>
          <w:p w14:paraId="161EA61A" w14:textId="77777777" w:rsidR="0028432C" w:rsidRPr="007314F9" w:rsidRDefault="0028432C" w:rsidP="009E62E9">
            <w:pPr>
              <w:pStyle w:val="TableDataCell"/>
            </w:pPr>
          </w:p>
        </w:tc>
      </w:tr>
      <w:tr w:rsidR="0028432C" w14:paraId="116765C1" w14:textId="77777777" w:rsidTr="002E2F96">
        <w:tc>
          <w:tcPr>
            <w:tcW w:w="2723" w:type="dxa"/>
            <w:vMerge/>
          </w:tcPr>
          <w:p w14:paraId="4B0DA5EC" w14:textId="77777777" w:rsidR="0028432C" w:rsidRPr="002825DB" w:rsidRDefault="0028432C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65A32559" w14:textId="526B8E40" w:rsidR="0028432C" w:rsidRPr="7753D9AC" w:rsidRDefault="0028432C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Notify employees about recovery.</w:t>
            </w:r>
          </w:p>
        </w:tc>
        <w:tc>
          <w:tcPr>
            <w:tcW w:w="2829" w:type="dxa"/>
          </w:tcPr>
          <w:p w14:paraId="3EDCC6A3" w14:textId="77777777" w:rsidR="0028432C" w:rsidRPr="007314F9" w:rsidRDefault="0028432C" w:rsidP="009E62E9">
            <w:pPr>
              <w:pStyle w:val="TableDataCell"/>
            </w:pPr>
          </w:p>
        </w:tc>
        <w:tc>
          <w:tcPr>
            <w:tcW w:w="2798" w:type="dxa"/>
          </w:tcPr>
          <w:p w14:paraId="36BD25FF" w14:textId="77777777" w:rsidR="0028432C" w:rsidRPr="007314F9" w:rsidRDefault="0028432C" w:rsidP="009E62E9">
            <w:pPr>
              <w:pStyle w:val="TableDataCell"/>
            </w:pPr>
          </w:p>
        </w:tc>
      </w:tr>
      <w:tr w:rsidR="0028432C" w14:paraId="2A41842B" w14:textId="77777777" w:rsidTr="002E2F96">
        <w:tc>
          <w:tcPr>
            <w:tcW w:w="2723" w:type="dxa"/>
            <w:vMerge/>
          </w:tcPr>
          <w:p w14:paraId="195B1FC7" w14:textId="77777777" w:rsidR="0028432C" w:rsidRPr="002825DB" w:rsidRDefault="0028432C" w:rsidP="003E6B36">
            <w:pPr>
              <w:pStyle w:val="TableHeading2"/>
              <w:rPr>
                <w:rFonts w:cs="Calibri"/>
                <w:b w:val="0"/>
                <w:bCs w:val="0"/>
              </w:rPr>
            </w:pPr>
          </w:p>
        </w:tc>
        <w:tc>
          <w:tcPr>
            <w:tcW w:w="3880" w:type="dxa"/>
          </w:tcPr>
          <w:p w14:paraId="57DEDC40" w14:textId="76B79B40" w:rsidR="0028432C" w:rsidRDefault="0028432C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Begin additional monitoring if needed.</w:t>
            </w:r>
          </w:p>
        </w:tc>
        <w:tc>
          <w:tcPr>
            <w:tcW w:w="2829" w:type="dxa"/>
          </w:tcPr>
          <w:p w14:paraId="1BB45D9E" w14:textId="77777777" w:rsidR="0028432C" w:rsidRPr="007314F9" w:rsidRDefault="0028432C" w:rsidP="009E62E9">
            <w:pPr>
              <w:pStyle w:val="TableDataCell"/>
            </w:pPr>
          </w:p>
        </w:tc>
        <w:tc>
          <w:tcPr>
            <w:tcW w:w="2798" w:type="dxa"/>
          </w:tcPr>
          <w:p w14:paraId="71782C1F" w14:textId="77777777" w:rsidR="0028432C" w:rsidRPr="007314F9" w:rsidRDefault="0028432C" w:rsidP="009E62E9">
            <w:pPr>
              <w:pStyle w:val="TableDataCell"/>
            </w:pPr>
          </w:p>
        </w:tc>
      </w:tr>
      <w:tr w:rsidR="0012585B" w14:paraId="0C45FC9C" w14:textId="77777777" w:rsidTr="009E62E9">
        <w:tc>
          <w:tcPr>
            <w:tcW w:w="2723" w:type="dxa"/>
            <w:vMerge w:val="restart"/>
            <w:shd w:val="clear" w:color="auto" w:fill="F2F2F2" w:themeFill="background1" w:themeFillShade="F2"/>
          </w:tcPr>
          <w:p w14:paraId="0B79E2E0" w14:textId="60F5E5BB" w:rsidR="0012585B" w:rsidRPr="007314F9" w:rsidRDefault="0012585B" w:rsidP="003E6B36">
            <w:pPr>
              <w:pStyle w:val="TableHeading2"/>
              <w:rPr>
                <w:sz w:val="22"/>
                <w:szCs w:val="22"/>
              </w:rPr>
            </w:pPr>
            <w:r w:rsidRPr="007314F9">
              <w:t>Post-Incident Activity</w:t>
            </w:r>
          </w:p>
        </w:tc>
        <w:tc>
          <w:tcPr>
            <w:tcW w:w="3880" w:type="dxa"/>
            <w:shd w:val="clear" w:color="auto" w:fill="F2F2F2" w:themeFill="background1" w:themeFillShade="F2"/>
          </w:tcPr>
          <w:p w14:paraId="5E015B67" w14:textId="43BDA770" w:rsidR="0012585B" w:rsidRPr="7753D9AC" w:rsidRDefault="0012585B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Ensure all incident documentation is complete.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751C68D0" w14:textId="77777777" w:rsidR="0012585B" w:rsidRPr="007314F9" w:rsidRDefault="0012585B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5DEDF111" w14:textId="77777777" w:rsidR="0012585B" w:rsidRPr="007314F9" w:rsidRDefault="0012585B" w:rsidP="009E62E9">
            <w:pPr>
              <w:pStyle w:val="TableDataCell"/>
            </w:pPr>
          </w:p>
        </w:tc>
      </w:tr>
      <w:tr w:rsidR="0012585B" w14:paraId="45B8FFAD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56C170FA" w14:textId="60CF02EA" w:rsidR="0012585B" w:rsidRDefault="0012585B" w:rsidP="0028432C">
            <w:pPr>
              <w:pStyle w:val="paragraph"/>
              <w:spacing w:before="0" w:after="0"/>
              <w:textAlignment w:val="baseline"/>
              <w:rPr>
                <w:rFonts w:ascii="IBM Plex Sans" w:hAnsi="IBM Plex Sans" w:cs="Calibri"/>
                <w:b/>
                <w:bCs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5617FDF6" w14:textId="7BB0B9BE" w:rsidR="0012585B" w:rsidRPr="7753D9AC" w:rsidRDefault="0012585B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Hold a lessons learned meeting.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7176A9B8" w14:textId="77777777" w:rsidR="0012585B" w:rsidRPr="007314F9" w:rsidRDefault="0012585B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7059F280" w14:textId="77777777" w:rsidR="0012585B" w:rsidRPr="007314F9" w:rsidRDefault="0012585B" w:rsidP="009E62E9">
            <w:pPr>
              <w:pStyle w:val="TableDataCell"/>
            </w:pPr>
          </w:p>
        </w:tc>
      </w:tr>
      <w:tr w:rsidR="0012585B" w14:paraId="5D4D3BDD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55AC4DAE" w14:textId="046AE766" w:rsidR="0012585B" w:rsidRDefault="0012585B" w:rsidP="0028432C">
            <w:pPr>
              <w:pStyle w:val="paragraph"/>
              <w:spacing w:before="0" w:after="0"/>
              <w:textAlignment w:val="baseline"/>
              <w:rPr>
                <w:rFonts w:ascii="IBM Plex Sans" w:hAnsi="IBM Plex Sans" w:cs="Calibri"/>
                <w:b/>
                <w:bCs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4E2D0166" w14:textId="416EAEE6" w:rsidR="0012585B" w:rsidRPr="7753D9AC" w:rsidRDefault="0012585B" w:rsidP="009E62E9">
            <w:pPr>
              <w:pStyle w:val="TableDataCell"/>
              <w:rPr>
                <w:rFonts w:cs="Calibri"/>
              </w:rPr>
            </w:pPr>
            <w:r>
              <w:rPr>
                <w:rFonts w:cs="Calibri"/>
              </w:rPr>
              <w:t>Create an incident response report.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2F9B8331" w14:textId="77777777" w:rsidR="0012585B" w:rsidRPr="007314F9" w:rsidRDefault="0012585B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7C04C02B" w14:textId="77777777" w:rsidR="0012585B" w:rsidRPr="007314F9" w:rsidRDefault="0012585B" w:rsidP="009E62E9">
            <w:pPr>
              <w:pStyle w:val="TableDataCell"/>
            </w:pPr>
          </w:p>
        </w:tc>
      </w:tr>
      <w:tr w:rsidR="0012585B" w14:paraId="19D11BBF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75C04F61" w14:textId="0EEB523C" w:rsidR="0012585B" w:rsidRPr="002825DB" w:rsidRDefault="0012585B" w:rsidP="0028432C">
            <w:pPr>
              <w:pStyle w:val="paragraph"/>
              <w:spacing w:before="0" w:beforeAutospacing="0" w:after="0" w:afterAutospacing="0"/>
              <w:textAlignment w:val="baseline"/>
              <w:rPr>
                <w:rFonts w:ascii="IBM Plex Sans" w:hAnsi="IBM Plex Sans" w:cs="Calibri"/>
                <w:b/>
                <w:bCs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6DB23EC3" w14:textId="0B097491" w:rsidR="0012585B" w:rsidRDefault="0012585B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>Review forensic evidence.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6A1EA8DC" w14:textId="77777777" w:rsidR="0012585B" w:rsidRPr="007314F9" w:rsidRDefault="0012585B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35410106" w14:textId="77777777" w:rsidR="0012585B" w:rsidRPr="007314F9" w:rsidRDefault="0012585B" w:rsidP="009E62E9">
            <w:pPr>
              <w:pStyle w:val="TableDataCell"/>
            </w:pPr>
          </w:p>
        </w:tc>
      </w:tr>
      <w:tr w:rsidR="0012585B" w14:paraId="084CC4E1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7C0B2B1B" w14:textId="77777777" w:rsidR="0012585B" w:rsidRPr="002825DB" w:rsidRDefault="0012585B" w:rsidP="0028432C">
            <w:pPr>
              <w:pStyle w:val="paragraph"/>
              <w:spacing w:before="0" w:beforeAutospacing="0" w:after="0" w:afterAutospacing="0"/>
              <w:textAlignment w:val="baseline"/>
              <w:rPr>
                <w:rFonts w:ascii="IBM Plex Sans" w:hAnsi="IBM Plex Sans" w:cs="Calibri"/>
                <w:b/>
                <w:bCs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5381A99F" w14:textId="547B139E" w:rsidR="0012585B" w:rsidRDefault="0012585B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 xml:space="preserve">Update </w:t>
            </w:r>
            <w:r w:rsidR="003A74B7">
              <w:rPr>
                <w:rFonts w:cs="Calibri"/>
              </w:rPr>
              <w:t xml:space="preserve">the </w:t>
            </w:r>
            <w:r>
              <w:rPr>
                <w:rFonts w:cs="Calibri"/>
              </w:rPr>
              <w:t>incident response playbook if needed.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0550843" w14:textId="77777777" w:rsidR="0012585B" w:rsidRPr="007314F9" w:rsidRDefault="0012585B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492AC177" w14:textId="77777777" w:rsidR="0012585B" w:rsidRPr="007314F9" w:rsidRDefault="0012585B" w:rsidP="009E62E9">
            <w:pPr>
              <w:pStyle w:val="TableDataCell"/>
            </w:pPr>
          </w:p>
        </w:tc>
      </w:tr>
      <w:tr w:rsidR="0012585B" w14:paraId="123502A7" w14:textId="77777777" w:rsidTr="009E62E9">
        <w:tc>
          <w:tcPr>
            <w:tcW w:w="2723" w:type="dxa"/>
            <w:vMerge/>
            <w:shd w:val="clear" w:color="auto" w:fill="F2F2F2" w:themeFill="background1" w:themeFillShade="F2"/>
          </w:tcPr>
          <w:p w14:paraId="0429ACA1" w14:textId="77777777" w:rsidR="0012585B" w:rsidRPr="002825DB" w:rsidRDefault="0012585B" w:rsidP="0028432C">
            <w:pPr>
              <w:pStyle w:val="paragraph"/>
              <w:spacing w:before="0" w:beforeAutospacing="0" w:after="0" w:afterAutospacing="0"/>
              <w:textAlignment w:val="baseline"/>
              <w:rPr>
                <w:rFonts w:ascii="IBM Plex Sans" w:hAnsi="IBM Plex Sans" w:cs="Calibri"/>
                <w:b/>
                <w:bCs/>
              </w:rPr>
            </w:pPr>
          </w:p>
        </w:tc>
        <w:tc>
          <w:tcPr>
            <w:tcW w:w="3880" w:type="dxa"/>
            <w:shd w:val="clear" w:color="auto" w:fill="F2F2F2" w:themeFill="background1" w:themeFillShade="F2"/>
          </w:tcPr>
          <w:p w14:paraId="4DD05B81" w14:textId="3A35272C" w:rsidR="0012585B" w:rsidRDefault="0012585B" w:rsidP="009E62E9">
            <w:pPr>
              <w:pStyle w:val="TableDataCell"/>
              <w:rPr>
                <w:rFonts w:cs="Calibri"/>
              </w:rPr>
            </w:pPr>
            <w:r w:rsidRPr="7753D9AC">
              <w:rPr>
                <w:rFonts w:cs="Calibri"/>
              </w:rPr>
              <w:t>Hold</w:t>
            </w:r>
            <w:r w:rsidR="003A74B7">
              <w:rPr>
                <w:rFonts w:cs="Calibri"/>
              </w:rPr>
              <w:t xml:space="preserve"> </w:t>
            </w:r>
            <w:r w:rsidRPr="7753D9AC">
              <w:rPr>
                <w:rFonts w:cs="Calibri"/>
              </w:rPr>
              <w:t>training</w:t>
            </w:r>
            <w:r>
              <w:rPr>
                <w:rFonts w:cs="Calibri"/>
              </w:rPr>
              <w:t xml:space="preserve"> session</w:t>
            </w:r>
            <w:r w:rsidRPr="7753D9AC">
              <w:rPr>
                <w:rFonts w:cs="Calibri"/>
              </w:rPr>
              <w:t>s</w:t>
            </w:r>
            <w:r>
              <w:rPr>
                <w:rFonts w:cs="Calibri"/>
              </w:rPr>
              <w:t>.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D53347C" w14:textId="77777777" w:rsidR="0012585B" w:rsidRPr="007314F9" w:rsidRDefault="0012585B" w:rsidP="009E62E9">
            <w:pPr>
              <w:pStyle w:val="TableDataCell"/>
            </w:pPr>
          </w:p>
        </w:tc>
        <w:tc>
          <w:tcPr>
            <w:tcW w:w="2798" w:type="dxa"/>
            <w:shd w:val="clear" w:color="auto" w:fill="F2F2F2" w:themeFill="background1" w:themeFillShade="F2"/>
          </w:tcPr>
          <w:p w14:paraId="0C1163F9" w14:textId="77777777" w:rsidR="0012585B" w:rsidRPr="007314F9" w:rsidRDefault="0012585B" w:rsidP="009E62E9">
            <w:pPr>
              <w:pStyle w:val="TableDataCell"/>
            </w:pPr>
          </w:p>
        </w:tc>
      </w:tr>
    </w:tbl>
    <w:p w14:paraId="5C8B794E" w14:textId="6F8279E2" w:rsidR="38AA415A" w:rsidRDefault="0012585B" w:rsidP="0012585B">
      <w:pPr>
        <w:pStyle w:val="Heading1"/>
        <w:rPr>
          <w:rFonts w:cs="Calibri"/>
        </w:rPr>
      </w:pPr>
      <w:r>
        <w:rPr>
          <w:rFonts w:cs="Calibri"/>
        </w:rPr>
        <w:t>Additional Resources</w:t>
      </w:r>
    </w:p>
    <w:p w14:paraId="7B8AC01E" w14:textId="5CBCCC20" w:rsidR="009E62E9" w:rsidRPr="009E62E9" w:rsidRDefault="009E62E9" w:rsidP="009E62E9">
      <w:r>
        <w:t>For more guidance, consult the following resources:</w:t>
      </w:r>
    </w:p>
    <w:p w14:paraId="59B4437B" w14:textId="3F223E76" w:rsidR="007314F9" w:rsidRDefault="00000000" w:rsidP="007314F9">
      <w:pPr>
        <w:pStyle w:val="ListParagraph"/>
        <w:numPr>
          <w:ilvl w:val="0"/>
          <w:numId w:val="4"/>
        </w:numPr>
        <w:contextualSpacing w:val="0"/>
      </w:pPr>
      <w:hyperlink r:id="rId9" w:history="1">
        <w:r w:rsidR="007314F9" w:rsidRPr="007314F9">
          <w:rPr>
            <w:rStyle w:val="Hyperlink"/>
          </w:rPr>
          <w:t>Computer Security Incident Handling Guide</w:t>
        </w:r>
      </w:hyperlink>
      <w:r w:rsidR="007314F9" w:rsidRPr="007314F9">
        <w:t xml:space="preserve"> – </w:t>
      </w:r>
      <w:r w:rsidR="007314F9">
        <w:t>a</w:t>
      </w:r>
      <w:r w:rsidR="007314F9" w:rsidRPr="007314F9">
        <w:t xml:space="preserve"> NIST document </w:t>
      </w:r>
      <w:r w:rsidR="007314F9">
        <w:t>that examines each phase of incident response in detail</w:t>
      </w:r>
    </w:p>
    <w:p w14:paraId="1E20DA9D" w14:textId="79DD15DC" w:rsidR="007314F9" w:rsidRDefault="00000000" w:rsidP="007314F9">
      <w:pPr>
        <w:pStyle w:val="ListParagraph"/>
        <w:numPr>
          <w:ilvl w:val="0"/>
          <w:numId w:val="4"/>
        </w:numPr>
        <w:contextualSpacing w:val="0"/>
      </w:pPr>
      <w:hyperlink r:id="rId10" w:history="1">
        <w:r w:rsidR="007314F9" w:rsidRPr="007314F9">
          <w:rPr>
            <w:rStyle w:val="Hyperlink"/>
          </w:rPr>
          <w:t>Incident Handler’s Handbook</w:t>
        </w:r>
      </w:hyperlink>
      <w:r w:rsidR="007314F9" w:rsidRPr="007314F9">
        <w:t xml:space="preserve"> – a SANS document that provides helpful guidance on incident response, including </w:t>
      </w:r>
      <w:r w:rsidR="007314F9">
        <w:t>an incident response</w:t>
      </w:r>
      <w:r w:rsidR="007314F9" w:rsidRPr="007314F9">
        <w:t xml:space="preserve"> checklist</w:t>
      </w:r>
    </w:p>
    <w:p w14:paraId="4FFB9F70" w14:textId="5F5DD2C1" w:rsidR="00ED0A59" w:rsidRPr="00ED0A59" w:rsidRDefault="00000000" w:rsidP="00ED0A59">
      <w:pPr>
        <w:pStyle w:val="ListParagraph"/>
        <w:numPr>
          <w:ilvl w:val="0"/>
          <w:numId w:val="4"/>
        </w:numPr>
        <w:contextualSpacing w:val="0"/>
        <w:rPr>
          <w:rFonts w:eastAsia="IBM Plex Sans" w:cs="IBM Plex Sans"/>
        </w:rPr>
      </w:pPr>
      <w:hyperlink r:id="rId11" w:history="1">
        <w:r w:rsidR="007314F9" w:rsidRPr="00ED0A59">
          <w:rPr>
            <w:rStyle w:val="Hyperlink"/>
          </w:rPr>
          <w:t>Cynet’s Incident Response Template</w:t>
        </w:r>
      </w:hyperlink>
      <w:r w:rsidR="007314F9" w:rsidRPr="007314F9">
        <w:t xml:space="preserve"> –</w:t>
      </w:r>
      <w:r w:rsidR="007314F9">
        <w:t xml:space="preserve"> another </w:t>
      </w:r>
      <w:r w:rsidR="00ED0A59">
        <w:t xml:space="preserve">helpful </w:t>
      </w:r>
      <w:r w:rsidR="007314F9">
        <w:t xml:space="preserve">incident response template </w:t>
      </w:r>
      <w:r w:rsidR="00ED0A59">
        <w:t>worth consulting as you develop your organization’s incident response plan</w:t>
      </w:r>
    </w:p>
    <w:sectPr w:rsidR="00ED0A59" w:rsidRPr="00ED0A59" w:rsidSect="002506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34A"/>
    <w:multiLevelType w:val="hybridMultilevel"/>
    <w:tmpl w:val="6F22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61D2"/>
    <w:multiLevelType w:val="hybridMultilevel"/>
    <w:tmpl w:val="B8004F6E"/>
    <w:lvl w:ilvl="0" w:tplc="4DDC79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924A4"/>
    <w:multiLevelType w:val="multilevel"/>
    <w:tmpl w:val="B268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C0452"/>
    <w:multiLevelType w:val="hybridMultilevel"/>
    <w:tmpl w:val="C03A261C"/>
    <w:lvl w:ilvl="0" w:tplc="AE649F1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896740">
    <w:abstractNumId w:val="2"/>
  </w:num>
  <w:num w:numId="2" w16cid:durableId="2012753134">
    <w:abstractNumId w:val="3"/>
  </w:num>
  <w:num w:numId="3" w16cid:durableId="1355957607">
    <w:abstractNumId w:val="1"/>
  </w:num>
  <w:num w:numId="4" w16cid:durableId="122244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wNDY0MrEwMDa2MDVU0lEKTi0uzszPAymwqAUA6R1fNywAAAA="/>
  </w:docVars>
  <w:rsids>
    <w:rsidRoot w:val="00D83880"/>
    <w:rsid w:val="00056531"/>
    <w:rsid w:val="000A4ABB"/>
    <w:rsid w:val="000C1205"/>
    <w:rsid w:val="000D235D"/>
    <w:rsid w:val="0012585B"/>
    <w:rsid w:val="001422B1"/>
    <w:rsid w:val="00142B82"/>
    <w:rsid w:val="001A4F8E"/>
    <w:rsid w:val="001D078C"/>
    <w:rsid w:val="001D0EB6"/>
    <w:rsid w:val="001D198D"/>
    <w:rsid w:val="001E6B38"/>
    <w:rsid w:val="001F3058"/>
    <w:rsid w:val="00202513"/>
    <w:rsid w:val="00207AFC"/>
    <w:rsid w:val="002458C7"/>
    <w:rsid w:val="00250654"/>
    <w:rsid w:val="002515E8"/>
    <w:rsid w:val="00275F39"/>
    <w:rsid w:val="002825DB"/>
    <w:rsid w:val="00284241"/>
    <w:rsid w:val="0028432C"/>
    <w:rsid w:val="0029383F"/>
    <w:rsid w:val="00293A5C"/>
    <w:rsid w:val="00293C8A"/>
    <w:rsid w:val="002A5700"/>
    <w:rsid w:val="002B5028"/>
    <w:rsid w:val="002B69E0"/>
    <w:rsid w:val="002B79A6"/>
    <w:rsid w:val="002C2589"/>
    <w:rsid w:val="002D7296"/>
    <w:rsid w:val="002E28D3"/>
    <w:rsid w:val="002E2F96"/>
    <w:rsid w:val="00320570"/>
    <w:rsid w:val="00325CE6"/>
    <w:rsid w:val="003420A7"/>
    <w:rsid w:val="00343CCD"/>
    <w:rsid w:val="0034653F"/>
    <w:rsid w:val="00354212"/>
    <w:rsid w:val="003612A7"/>
    <w:rsid w:val="003A74B7"/>
    <w:rsid w:val="003B7B52"/>
    <w:rsid w:val="003C58E0"/>
    <w:rsid w:val="003DD0F6"/>
    <w:rsid w:val="003E6B36"/>
    <w:rsid w:val="004220C9"/>
    <w:rsid w:val="0042647A"/>
    <w:rsid w:val="00447978"/>
    <w:rsid w:val="004941B2"/>
    <w:rsid w:val="004F1365"/>
    <w:rsid w:val="00541D96"/>
    <w:rsid w:val="0056121F"/>
    <w:rsid w:val="00573D05"/>
    <w:rsid w:val="0058383B"/>
    <w:rsid w:val="00591214"/>
    <w:rsid w:val="005D0E5D"/>
    <w:rsid w:val="005E3EC7"/>
    <w:rsid w:val="005E4EA6"/>
    <w:rsid w:val="0060460D"/>
    <w:rsid w:val="0063083F"/>
    <w:rsid w:val="00633D12"/>
    <w:rsid w:val="006604BD"/>
    <w:rsid w:val="00685121"/>
    <w:rsid w:val="00697AB4"/>
    <w:rsid w:val="006A3886"/>
    <w:rsid w:val="006A4AA2"/>
    <w:rsid w:val="006C2442"/>
    <w:rsid w:val="006C619D"/>
    <w:rsid w:val="006D0720"/>
    <w:rsid w:val="006D4E25"/>
    <w:rsid w:val="006D7397"/>
    <w:rsid w:val="006E4297"/>
    <w:rsid w:val="0072250D"/>
    <w:rsid w:val="007314F9"/>
    <w:rsid w:val="007520DD"/>
    <w:rsid w:val="00774959"/>
    <w:rsid w:val="00775C47"/>
    <w:rsid w:val="007913CE"/>
    <w:rsid w:val="00795E8D"/>
    <w:rsid w:val="007A1BE2"/>
    <w:rsid w:val="007B7F4F"/>
    <w:rsid w:val="007E7B51"/>
    <w:rsid w:val="007F5D39"/>
    <w:rsid w:val="00811D60"/>
    <w:rsid w:val="00814F42"/>
    <w:rsid w:val="008165B6"/>
    <w:rsid w:val="008254C0"/>
    <w:rsid w:val="008257C7"/>
    <w:rsid w:val="008317DC"/>
    <w:rsid w:val="008424DE"/>
    <w:rsid w:val="00845A24"/>
    <w:rsid w:val="00871CCE"/>
    <w:rsid w:val="00882334"/>
    <w:rsid w:val="00891F93"/>
    <w:rsid w:val="00894870"/>
    <w:rsid w:val="008A0B00"/>
    <w:rsid w:val="008C4DA1"/>
    <w:rsid w:val="008E5BD5"/>
    <w:rsid w:val="009275D3"/>
    <w:rsid w:val="00937232"/>
    <w:rsid w:val="00941771"/>
    <w:rsid w:val="00975A74"/>
    <w:rsid w:val="00975D6C"/>
    <w:rsid w:val="00992849"/>
    <w:rsid w:val="009C70CD"/>
    <w:rsid w:val="009D4A85"/>
    <w:rsid w:val="009D5A8E"/>
    <w:rsid w:val="009E2333"/>
    <w:rsid w:val="009E62E9"/>
    <w:rsid w:val="009E6385"/>
    <w:rsid w:val="00A74451"/>
    <w:rsid w:val="00A748C9"/>
    <w:rsid w:val="00A856C1"/>
    <w:rsid w:val="00AD1C1D"/>
    <w:rsid w:val="00AF5154"/>
    <w:rsid w:val="00B17EFA"/>
    <w:rsid w:val="00B45EB3"/>
    <w:rsid w:val="00B559CE"/>
    <w:rsid w:val="00B86335"/>
    <w:rsid w:val="00BD6F9C"/>
    <w:rsid w:val="00BF4EA5"/>
    <w:rsid w:val="00BF4ED6"/>
    <w:rsid w:val="00BF7A3E"/>
    <w:rsid w:val="00C2521D"/>
    <w:rsid w:val="00C42F29"/>
    <w:rsid w:val="00C443C4"/>
    <w:rsid w:val="00C52A7B"/>
    <w:rsid w:val="00C561D5"/>
    <w:rsid w:val="00C87FCC"/>
    <w:rsid w:val="00C92DB0"/>
    <w:rsid w:val="00CF331D"/>
    <w:rsid w:val="00CF4FFD"/>
    <w:rsid w:val="00D04C71"/>
    <w:rsid w:val="00D30864"/>
    <w:rsid w:val="00D818B4"/>
    <w:rsid w:val="00D81942"/>
    <w:rsid w:val="00D83880"/>
    <w:rsid w:val="00DA1478"/>
    <w:rsid w:val="00DC1693"/>
    <w:rsid w:val="00DD6007"/>
    <w:rsid w:val="00DD7042"/>
    <w:rsid w:val="00DE0919"/>
    <w:rsid w:val="00DE67C6"/>
    <w:rsid w:val="00E12BE0"/>
    <w:rsid w:val="00E12C37"/>
    <w:rsid w:val="00E25F97"/>
    <w:rsid w:val="00E27A14"/>
    <w:rsid w:val="00E378E0"/>
    <w:rsid w:val="00E710A2"/>
    <w:rsid w:val="00ED0229"/>
    <w:rsid w:val="00ED0A59"/>
    <w:rsid w:val="00F26018"/>
    <w:rsid w:val="00F74CC7"/>
    <w:rsid w:val="00FD5F3B"/>
    <w:rsid w:val="02C9A15A"/>
    <w:rsid w:val="05BDA46F"/>
    <w:rsid w:val="0873DA0C"/>
    <w:rsid w:val="0D9B6F12"/>
    <w:rsid w:val="0E11681A"/>
    <w:rsid w:val="1744E7DD"/>
    <w:rsid w:val="18147952"/>
    <w:rsid w:val="19B049B3"/>
    <w:rsid w:val="1B236B16"/>
    <w:rsid w:val="1CECD715"/>
    <w:rsid w:val="25E5485C"/>
    <w:rsid w:val="29CE5B03"/>
    <w:rsid w:val="2BE62C41"/>
    <w:rsid w:val="2FC02967"/>
    <w:rsid w:val="32191164"/>
    <w:rsid w:val="353D849F"/>
    <w:rsid w:val="365EA9BB"/>
    <w:rsid w:val="3774D07B"/>
    <w:rsid w:val="38AA415A"/>
    <w:rsid w:val="3B2EA466"/>
    <w:rsid w:val="3CE55C60"/>
    <w:rsid w:val="41FA99D3"/>
    <w:rsid w:val="4465FBA9"/>
    <w:rsid w:val="45E8B498"/>
    <w:rsid w:val="47CAB693"/>
    <w:rsid w:val="4869DB57"/>
    <w:rsid w:val="4BD5CAAA"/>
    <w:rsid w:val="4C710D8E"/>
    <w:rsid w:val="51F79540"/>
    <w:rsid w:val="523B5D3F"/>
    <w:rsid w:val="56A38075"/>
    <w:rsid w:val="5D8EE616"/>
    <w:rsid w:val="5EDE05CE"/>
    <w:rsid w:val="5F2AB677"/>
    <w:rsid w:val="63D10D72"/>
    <w:rsid w:val="63F53EF0"/>
    <w:rsid w:val="64A17CD2"/>
    <w:rsid w:val="67BBC4C3"/>
    <w:rsid w:val="709B54BD"/>
    <w:rsid w:val="70C9D3D4"/>
    <w:rsid w:val="70CBCBF0"/>
    <w:rsid w:val="70E49828"/>
    <w:rsid w:val="765C2542"/>
    <w:rsid w:val="773EFC1D"/>
    <w:rsid w:val="7753D9AC"/>
    <w:rsid w:val="7936DC50"/>
    <w:rsid w:val="7A75DDAE"/>
    <w:rsid w:val="7B310D56"/>
    <w:rsid w:val="7BFA30A7"/>
    <w:rsid w:val="7DBB9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71C9"/>
  <w15:chartTrackingRefBased/>
  <w15:docId w15:val="{9EEFED2D-1552-4D94-9B45-DDE1B97B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82"/>
    <w:rPr>
      <w:rFonts w:ascii="IBM Plex Sans" w:hAnsi="IBM Plex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AB4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eastAsiaTheme="majorEastAsia" w:cstheme="majorBidi"/>
      <w:b/>
      <w:bCs/>
      <w:sz w:val="40"/>
      <w:szCs w:val="40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A14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7AB4"/>
    <w:rPr>
      <w:rFonts w:ascii="IBM Plex Sans" w:eastAsiaTheme="majorEastAsia" w:hAnsi="IBM Plex Sans" w:cstheme="majorBidi"/>
      <w:b/>
      <w:bCs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97AB4"/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B4"/>
    <w:rPr>
      <w:rFonts w:ascii="IBM Plex Sans" w:hAnsi="IBM Plex Sans"/>
      <w:b/>
      <w:bCs/>
      <w:sz w:val="56"/>
      <w:szCs w:val="56"/>
    </w:rPr>
  </w:style>
  <w:style w:type="paragraph" w:customStyle="1" w:styleId="paragraph">
    <w:name w:val="paragraph"/>
    <w:basedOn w:val="Normal"/>
    <w:rsid w:val="0069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A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3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3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383F"/>
    <w:rPr>
      <w:rFonts w:ascii="IBM Plex Sans" w:hAnsi="IBM Plex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83F"/>
    <w:rPr>
      <w:rFonts w:ascii="IBM Plex Sans" w:hAnsi="IBM Plex San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83F"/>
    <w:rPr>
      <w:color w:val="605E5C"/>
      <w:shd w:val="clear" w:color="auto" w:fill="E1DFDD"/>
    </w:rPr>
  </w:style>
  <w:style w:type="paragraph" w:customStyle="1" w:styleId="TableDataCell">
    <w:name w:val="Table_DataCell"/>
    <w:basedOn w:val="Normal"/>
    <w:qFormat/>
    <w:rsid w:val="001D0EB6"/>
    <w:pPr>
      <w:spacing w:after="240"/>
    </w:pPr>
  </w:style>
  <w:style w:type="paragraph" w:customStyle="1" w:styleId="TableHeading2">
    <w:name w:val="Table_Heading2"/>
    <w:basedOn w:val="Normal"/>
    <w:qFormat/>
    <w:rsid w:val="00795E8D"/>
    <w:pPr>
      <w:spacing w:after="0" w:line="240" w:lineRule="auto"/>
    </w:pPr>
    <w:rPr>
      <w:b/>
      <w:bCs/>
      <w:sz w:val="24"/>
      <w:szCs w:val="24"/>
    </w:rPr>
  </w:style>
  <w:style w:type="paragraph" w:customStyle="1" w:styleId="TableHeading1">
    <w:name w:val="Table_Heading1"/>
    <w:basedOn w:val="Normal"/>
    <w:qFormat/>
    <w:rsid w:val="00795E8D"/>
    <w:pPr>
      <w:spacing w:after="0" w:line="240" w:lineRule="auto"/>
      <w:jc w:val="center"/>
      <w:textAlignment w:val="baseline"/>
    </w:pPr>
    <w:rPr>
      <w:rFonts w:eastAsia="Times New Roman" w:cs="Calibri"/>
      <w:b/>
      <w:bCs/>
      <w:color w:val="FFFFFF" w:themeColor="background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0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31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dt.ca.gov/wp-content/uploads/2017/03/templates_incident_response_plan.doc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sans.org/white-papers/3390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vlpubs.nist.gov/nistpubs/specialpublications/nist.sp.800-61r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3bfa2-42a7-4580-9b41-bea93359e205" xsi:nil="true"/>
    <lcf76f155ced4ddcb4097134ff3c332f xmlns="63e21ea7-abbb-4fc9-8d57-43d89964e55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CF9B88052534581EDA30F1A96983A" ma:contentTypeVersion="15" ma:contentTypeDescription="Create a new document." ma:contentTypeScope="" ma:versionID="e6e8ba60b97921042de1ec19655665f9">
  <xsd:schema xmlns:xsd="http://www.w3.org/2001/XMLSchema" xmlns:xs="http://www.w3.org/2001/XMLSchema" xmlns:p="http://schemas.microsoft.com/office/2006/metadata/properties" xmlns:ns2="63e21ea7-abbb-4fc9-8d57-43d89964e559" xmlns:ns3="7783bfa2-42a7-4580-9b41-bea93359e205" targetNamespace="http://schemas.microsoft.com/office/2006/metadata/properties" ma:root="true" ma:fieldsID="19648a1771e8b17d0f696f94859fac0f" ns2:_="" ns3:_="">
    <xsd:import namespace="63e21ea7-abbb-4fc9-8d57-43d89964e559"/>
    <xsd:import namespace="7783bfa2-42a7-4580-9b41-bea93359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21ea7-abbb-4fc9-8d57-43d89964e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3bfa2-42a7-4580-9b41-bea93359e2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0aec3f3-a840-49ec-bc21-c74a10be6d62}" ma:internalName="TaxCatchAll" ma:showField="CatchAllData" ma:web="7783bfa2-42a7-4580-9b41-bea93359e2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C759A0-DA3F-43BB-BFA4-0EB1F3A473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623999-B940-4461-8A4E-886BFBD6E108}">
  <ds:schemaRefs>
    <ds:schemaRef ds:uri="http://schemas.microsoft.com/office/2006/metadata/properties"/>
    <ds:schemaRef ds:uri="http://schemas.microsoft.com/office/infopath/2007/PartnerControls"/>
    <ds:schemaRef ds:uri="7783bfa2-42a7-4580-9b41-bea93359e205"/>
    <ds:schemaRef ds:uri="63e21ea7-abbb-4fc9-8d57-43d89964e559"/>
  </ds:schemaRefs>
</ds:datastoreItem>
</file>

<file path=customXml/itemProps3.xml><?xml version="1.0" encoding="utf-8"?>
<ds:datastoreItem xmlns:ds="http://schemas.openxmlformats.org/officeDocument/2006/customXml" ds:itemID="{B7B8F604-A9C5-488E-8668-187F5A9D8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e21ea7-abbb-4fc9-8d57-43d89964e559"/>
    <ds:schemaRef ds:uri="7783bfa2-42a7-4580-9b41-bea93359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9F9339-943E-4F36-9BF9-1E1EFC161B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johnsen</dc:creator>
  <cp:keywords/>
  <dc:description/>
  <cp:lastModifiedBy>Zachary Rash</cp:lastModifiedBy>
  <cp:revision>17</cp:revision>
  <dcterms:created xsi:type="dcterms:W3CDTF">2022-12-13T21:16:00Z</dcterms:created>
  <dcterms:modified xsi:type="dcterms:W3CDTF">2023-01-23T16:32:00Z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0x010100024CF9B88052534581EDA30F1A96983A</vt:lpwstr>
  </property>
</Properties>
</file>