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44"/>
          <w:szCs w:val="44"/>
          <w:color w:val="1F3864"/>
        </w:rPr>
        <w:t xml:space="preserve">FAERS 2024 Semaglutide Capstone</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30"/>
          <w:szCs w:val="30"/>
          <w:color w:val="2E75B6"/>
        </w:rPr>
        <w:t xml:space="preserve">Blind Replication 2: step-by-step process record</w:t>
      </w:r>
    </w:p>
    <w:p>
      <w:pPr>
        <w:pStyle w:val="Normal"/>
        <w:jc w:val="left"/>
        <w:pBdr>
          <w:bottom w:val="none" w:sz="0" w:space="0" w:color="000000"/>
          <w:top w:val="none" w:sz="0" w:space="0" w:color="000000"/>
          <w:left w:val="none" w:sz="0" w:space="0" w:color="000000"/>
          <w:right w:val="none" w:sz="0" w:space="0" w:color="000000"/>
        </w:pBdr>
        <w:spacing w:after="280" w:before="0" w:line="240"/>
        <w:ind w:left="0" w:right="0" w:firstLine="0" w:firstLineChars="0"/>
      </w:pPr>
      <w:r>
        <w:rPr>
          <w:rFonts w:ascii="Arial" w:hAnsi="Arial" w:eastAsia="Arial" w:cs="Arial"/>
          <w:i w:val="false"/>
          <w:b w:val="false"/>
          <w:u w:val="none"/>
          <w:strike w:val="false"/>
          <w:sz w:val="20"/>
          <w:szCs w:val="20"/>
          <w:color w:val="595959"/>
        </w:rPr>
        <w:t xml:space="preserve">Prepared for Maxwell Nyarko · Run date 1 October 2026 · R 4.4.1</w:t>
      </w:r>
    </w:p>
    <w:p>
      <w:pPr>
        <w:pStyle w:val="Titre1"/>
      </w:pPr>
      <w:r>
        <w:t xml:space="preserve">Summary</w:t>
      </w:r>
    </w:p>
    <w:p>
      <w:pPr>
        <w:pStyle w:val="Normal"/>
        <w:jc w:val="left"/>
        <w:pBdr>
          <w:bottom w:val="none" w:sz="0" w:space="0" w:color="000000"/>
          <w:top w:val="none" w:sz="0" w:space="0" w:color="000000"/>
          <w:left w:val="none" w:sz="0" w:space="0" w:color="000000"/>
          <w:right w:val="none" w:sz="0" w:space="0" w:color="000000"/>
        </w:pBdr>
        <w:spacing w:after="120" w:before="0" w:line="264"/>
        <w:ind w:left="0" w:right="0" w:firstLine="0" w:firstLineChars="0"/>
      </w:pPr>
      <w:r>
        <w:rPr>
          <w:rFonts w:ascii="Arial" w:hAnsi="Arial" w:eastAsia="Arial" w:cs="Arial"/>
          <w:i w:val="false"/>
          <w:b w:val="false"/>
          <w:u w:val="none"/>
          <w:strike w:val="false"/>
          <w:sz w:val="22"/>
          <w:szCs w:val="22"/>
          <w:color w:val="000000"/>
        </w:rPr>
        <w:t xml:space="preserve">This document records how the FAERS 2024 semaglutide analysis was rebuilt a second time from the raw FDA quarterly files, one step at a time, in an R session you could watch in the Terminal panel. The run paused at every checkpoint the replication spec defines, so each row count and the model reference levels could be reviewed before the next step began.</w:t>
      </w:r>
    </w:p>
    <w:p>
      <w:pPr>
        <w:pStyle w:val="Normal"/>
        <w:jc w:val="left"/>
        <w:pBdr>
          <w:bottom w:val="none" w:sz="0" w:space="0" w:color="000000"/>
          <w:top w:val="none" w:sz="0" w:space="0" w:color="000000"/>
          <w:left w:val="none" w:sz="0" w:space="0" w:color="000000"/>
          <w:right w:val="none" w:sz="0" w:space="0" w:color="000000"/>
        </w:pBdr>
        <w:spacing w:after="120" w:before="0" w:line="264"/>
        <w:ind w:left="0" w:right="0" w:firstLine="0" w:firstLineChars="0"/>
      </w:pPr>
      <w:r>
        <w:rPr>
          <w:rFonts w:ascii="Arial" w:hAnsi="Arial" w:eastAsia="Arial" w:cs="Arial"/>
          <w:i w:val="false"/>
          <w:b w:val="true"/>
          <w:u w:val="none"/>
          <w:strike w:val="false"/>
          <w:sz w:val="22"/>
          <w:szCs w:val="22"/>
          <w:color w:val="000000"/>
        </w:rPr>
        <w:t xml:space="preserve">Result. </w:t>
      </w:r>
      <w:r>
        <w:rPr>
          <w:rFonts w:ascii="Arial" w:hAnsi="Arial" w:eastAsia="Arial" w:cs="Arial"/>
          <w:i w:val="false"/>
          <w:b w:val="false"/>
          <w:u w:val="none"/>
          <w:strike w:val="false"/>
          <w:sz w:val="22"/>
          <w:szCs w:val="22"/>
          <w:color w:val="000000"/>
        </w:rPr>
        <w:t xml:space="preserve">Final analytic sample: 2,427 US reports in which semaglutide was the primary suspect drug. Every checkpoint count and every estimate is identical to the first blind replication (Blind Replication 1), and the analytic dataset is byte-for-byte identical. The pipeline therefore gives the same answer when built twice from the spec.</w:t>
      </w:r>
    </w:p>
    <w:tbl xmlns:a="http://schemas.openxmlformats.org/drawingml/2006/main" xmlns:pic="http://schemas.openxmlformats.org/drawingml/2006/picture">
      <w:tblPr>
        <w:tblLayout w:type="fixed"/>
        <w:jc w:val="center"/>
        <w:tblLook w:firstRow="1" w:lastRow="0" w:firstColumn="0" w:lastColumn="0" w:noHBand="0" w:noVBand="1"/>
      </w:tblPr>
      <w:tblGrid>
        <w:gridCol w:w="5472"/>
        <w:gridCol w:w="3888"/>
      </w:tblGrid>
      <w:tr>
        <w:trPr>
          <w:trHeight w:val="360" w:hRule="auto"/>
          <w:tblHeader/>
        </w:trPr>
        header1
        <w:tc>
          <w:tcPr>
            <w:tcBorders>
              <w:bottom w:val="single" w:sz="12" w:space="0" w:color="BFBFBF"/>
              <w:top w:val="single" w:sz="12" w:space="0" w:color="BFBFBF"/>
              <w:left w:val="none" w:sz="0" w:space="0" w:color="000000"/>
              <w:right w:val="none" w:sz="0" w:space="0" w:color="000000"/>
            </w:tcBorders>
            <w:shd w:val="clear" w:color="auto" w:fill="1F386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true"/>
                <w:u w:val="none"/>
                <w:strike w:val="false"/>
                <w:sz w:val="19"/>
                <w:szCs w:val="19"/>
                <w:color w:val="FFFFFF"/>
              </w:rPr>
            </w:pPr>
            <w:r>
              <w:rPr>
                <w:rFonts w:ascii="Arial" w:hAnsi="Helvetica" w:eastAsia="Helvetica" w:cs="Helvetica"/>
                <w:i w:val="false"/>
                <w:b w:val="true"/>
                <w:u w:val="none"/>
                <w:strike w:val="false"/>
                <w:sz w:val="19"/>
                <w:szCs w:val="19"/>
                <w:color w:val="FFFFFF"/>
              </w:rPr>
              <w:t xml:space="preserve">Item</w:t>
            </w:r>
          </w:p>
        </w:tc>
        <w:tc>
          <w:tcPr>
            <w:tcBorders>
              <w:bottom w:val="single" w:sz="12" w:space="0" w:color="BFBFBF"/>
              <w:top w:val="single" w:sz="12" w:space="0" w:color="BFBFBF"/>
              <w:left w:val="none" w:sz="0" w:space="0" w:color="000000"/>
              <w:right w:val="none" w:sz="0" w:space="0" w:color="000000"/>
            </w:tcBorders>
            <w:shd w:val="clear" w:color="auto" w:fill="1F386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true"/>
                <w:u w:val="none"/>
                <w:strike w:val="false"/>
                <w:sz w:val="19"/>
                <w:szCs w:val="19"/>
                <w:color w:val="FFFFFF"/>
              </w:rPr>
            </w:pPr>
            <w:r>
              <w:rPr>
                <w:rFonts w:ascii="Arial" w:hAnsi="Helvetica" w:eastAsia="Helvetica" w:cs="Helvetica"/>
                <w:i w:val="false"/>
                <w:b w:val="true"/>
                <w:u w:val="none"/>
                <w:strike w:val="false"/>
                <w:sz w:val="19"/>
                <w:szCs w:val="19"/>
                <w:color w:val="FFFFFF"/>
              </w:rPr>
              <w:t xml:space="preserve">Value</w:t>
            </w:r>
          </w:p>
        </w:tc>
      </w:tr>
      <w:tr>
        <w:trPr>
          <w:trHeight w:val="360" w:hRule="auto"/>
        </w:trPr>
        body1
        <w:tc>
          <w:tcPr>
            <w:tcBorders>
              <w:bottom w:val="single" w:sz="6" w:space="0" w:color="BFBFBF"/>
              <w:top w:val="single" w:sz="12"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Final analytic sample</w:t>
            </w:r>
          </w:p>
        </w:tc>
        <w:tc>
          <w:tcPr>
            <w:tcBorders>
              <w:bottom w:val="single" w:sz="6" w:space="0" w:color="BFBFBF"/>
              <w:top w:val="single" w:sz="12"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n = 2,427</w:t>
            </w:r>
          </w:p>
        </w:tc>
      </w:tr>
      <w:tr>
        <w:trPr>
          <w:trHeight w:val="360" w:hRule="auto"/>
        </w:trPr>
        body2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Older vs younger: GI and metabolic (adjusted OR)</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0.71 (0.58–0.86)</w:t>
            </w:r>
          </w:p>
        </w:tc>
      </w:tr>
      <w:tr>
        <w:trPr>
          <w:trHeight w:val="360" w:hRule="auto"/>
        </w:trPr>
        body3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Older vs younger: Cardiovascular (adjusted OR)</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1.15 (0.76–1.74)</w:t>
            </w:r>
          </w:p>
        </w:tc>
      </w:tr>
      <w:tr>
        <w:trPr>
          <w:trHeight w:val="360" w:hRule="auto"/>
        </w:trPr>
        body4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Older vs younger: Psychiatric (adjusted OR)</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0.47 (0.30–0.75)</w:t>
            </w:r>
          </w:p>
        </w:tc>
      </w:tr>
      <w:tr>
        <w:trPr>
          <w:trHeight w:val="360" w:hRule="auto"/>
        </w:trPr>
        body5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Age × sex interaction (LRT)</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χ² = 0.78, df = 3, p = 0.85</w:t>
            </w:r>
          </w:p>
        </w:tc>
      </w:tr>
      <w:tr>
        <w:trPr>
          <w:trHeight w:val="360" w:hRule="auto"/>
        </w:trPr>
        body6
        <w:tc>
          <w:tcPr>
            <w:tcBorders>
              <w:bottom w:val="single" w:sz="12"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Model fit (McFadden pseudo-R²)</w:t>
            </w:r>
          </w:p>
        </w:tc>
        <w:tc>
          <w:tcPr>
            <w:tcBorders>
              <w:bottom w:val="single" w:sz="12"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0.032</w:t>
            </w:r>
          </w:p>
        </w:tc>
      </w:tr>
    </w:tbl>
    <w:p>
      <w:pPr>
        <w:pStyle w:val="Normal"/>
        <w:jc w:val="left"/>
        <w:pBdr>
          <w:bottom w:val="none" w:sz="0" w:space="0" w:color="000000"/>
          <w:top w:val="none" w:sz="0" w:space="0" w:color="000000"/>
          <w:left w:val="none" w:sz="0" w:space="0" w:color="000000"/>
          <w:right w:val="none" w:sz="0" w:space="0" w:color="000000"/>
        </w:pBdr>
        <w:spacing w:after="200" w:before="0" w:line="240"/>
        <w:ind w:left="0" w:right="0" w:firstLine="0" w:firstLineChars="0"/>
      </w:pPr>
      <w:r>
        <w:rPr>
          <w:rFonts w:ascii="Arial" w:hAnsi="Arial" w:eastAsia="Arial" w:cs="Arial"/>
          <w:i w:val="true"/>
          <w:b w:val="false"/>
          <w:u w:val="none"/>
          <w:strike w:val="false"/>
          <w:sz w:val="18"/>
          <w:szCs w:val="18"/>
          <w:color w:val="595959"/>
        </w:rPr>
        <w:t xml:space="preserve">Table 1. Headline results. Reference outcome = Others; reference age group = 18–64.</w:t>
      </w:r>
    </w:p>
    <w:p>
      <w:pPr>
        <w:pStyle w:val="Titre1"/>
      </w:pPr>
      <w:r>
        <w:t xml:space="preserve">Inputs and ground rules</w:t>
      </w:r>
    </w:p>
    <w:p>
      <w:pPr>
        <w:pStyle w:val="Normal"/>
        <w:jc w:val="left"/>
        <w:pBdr>
          <w:bottom w:val="none" w:sz="0" w:space="0" w:color="000000"/>
          <w:top w:val="none" w:sz="0" w:space="0" w:color="000000"/>
          <w:left w:val="none" w:sz="0" w:space="0" w:color="000000"/>
          <w:right w:val="none" w:sz="0" w:space="0" w:color="000000"/>
        </w:pBdr>
        <w:spacing w:after="120" w:before="0" w:line="264"/>
        <w:ind w:left="0" w:right="0" w:firstLine="0" w:firstLineChars="0"/>
      </w:pPr>
      <w:r>
        <w:rPr>
          <w:rFonts w:ascii="Arial" w:hAnsi="Arial" w:eastAsia="Arial" w:cs="Arial"/>
          <w:i w:val="false"/>
          <w:b w:val="true"/>
          <w:u w:val="none"/>
          <w:strike w:val="false"/>
          <w:sz w:val="22"/>
          <w:szCs w:val="22"/>
          <w:color w:val="000000"/>
        </w:rPr>
        <w:t xml:space="preserve">Materials. </w:t>
      </w:r>
      <w:r>
        <w:rPr>
          <w:rFonts w:ascii="Arial" w:hAnsi="Arial" w:eastAsia="Arial" w:cs="Arial"/>
          <w:i w:val="false"/>
          <w:b w:val="false"/>
          <w:u w:val="none"/>
          <w:strike w:val="false"/>
          <w:sz w:val="22"/>
          <w:szCs w:val="22"/>
          <w:color w:val="000000"/>
        </w:rPr>
        <w:t xml:space="preserve">Only the three items connected to the session were used: the replication spec (FAERS_Semaglutide_Replication_Spec.pdf, 30 September 2026), the Aims and Methods extract (for reference; the spec wins where they differ) and the FAERS_DATA_2024 folder.</w:t>
      </w:r>
    </w:p>
    <w:p>
      <w:pPr>
        <w:pStyle w:val="Normal"/>
        <w:jc w:val="left"/>
        <w:pBdr>
          <w:bottom w:val="none" w:sz="0" w:space="0" w:color="000000"/>
          <w:top w:val="none" w:sz="0" w:space="0" w:color="000000"/>
          <w:left w:val="none" w:sz="0" w:space="0" w:color="000000"/>
          <w:right w:val="none" w:sz="0" w:space="0" w:color="000000"/>
        </w:pBdr>
        <w:spacing w:after="120" w:before="0" w:line="264"/>
        <w:ind w:left="0" w:right="0" w:firstLine="0" w:firstLineChars="0"/>
      </w:pPr>
      <w:r>
        <w:rPr>
          <w:rFonts w:ascii="Arial" w:hAnsi="Arial" w:eastAsia="Arial" w:cs="Arial"/>
          <w:i w:val="false"/>
          <w:b w:val="true"/>
          <w:u w:val="none"/>
          <w:strike w:val="false"/>
          <w:sz w:val="22"/>
          <w:szCs w:val="22"/>
          <w:color w:val="000000"/>
        </w:rPr>
        <w:t xml:space="preserve">Blind conditions. </w:t>
      </w:r>
      <w:r>
        <w:rPr>
          <w:rFonts w:ascii="Arial" w:hAnsi="Arial" w:eastAsia="Arial" w:cs="Arial"/>
          <w:i w:val="false"/>
          <w:b w:val="false"/>
          <w:u w:val="none"/>
          <w:strike w:val="false"/>
          <w:sz w:val="22"/>
          <w:szCs w:val="22"/>
          <w:color w:val="000000"/>
        </w:rPr>
        <w:t xml:space="preserve">The original R Markdown code, results, Figure 1 counts and the original GitHub repository were not seen, as the spec requires. Information from earlier chats was not used. At the very start of the session, before these ground rules were set, folder and file names under Documents were listed to locate the project; no files were opened. After the rules were set, nothing outside the connected items and the output folders was accessed.</w:t>
      </w:r>
    </w:p>
    <w:p>
      <w:pPr>
        <w:pStyle w:val="Normal"/>
        <w:jc w:val="left"/>
        <w:pBdr>
          <w:bottom w:val="none" w:sz="0" w:space="0" w:color="000000"/>
          <w:top w:val="none" w:sz="0" w:space="0" w:color="000000"/>
          <w:left w:val="none" w:sz="0" w:space="0" w:color="000000"/>
          <w:right w:val="none" w:sz="0" w:space="0" w:color="000000"/>
        </w:pBdr>
        <w:spacing w:after="120" w:before="0" w:line="264"/>
        <w:ind w:left="0" w:right="0" w:firstLine="0" w:firstLineChars="0"/>
      </w:pPr>
      <w:r>
        <w:rPr>
          <w:rFonts w:ascii="Arial" w:hAnsi="Arial" w:eastAsia="Arial" w:cs="Arial"/>
          <w:i w:val="false"/>
          <w:b w:val="true"/>
          <w:u w:val="none"/>
          <w:strike w:val="false"/>
          <w:sz w:val="22"/>
          <w:szCs w:val="22"/>
          <w:color w:val="000000"/>
        </w:rPr>
        <w:t xml:space="preserve">Where outputs live. </w:t>
      </w:r>
      <w:r>
        <w:rPr>
          <w:rFonts w:ascii="Arial" w:hAnsi="Arial" w:eastAsia="Arial" w:cs="Arial"/>
          <w:i w:val="false"/>
          <w:b w:val="false"/>
          <w:u w:val="none"/>
          <w:strike w:val="false"/>
          <w:sz w:val="22"/>
          <w:szCs w:val="22"/>
          <w:color w:val="000000"/>
        </w:rPr>
        <w:t xml:space="preserve">Local folder: CAPSTONE AUTOMATION/BLIND_REPLICATION_2. GitHub (private): github.com/mkNyarko/capstone-blind-replication2. The first run is kept separately in BLIND_REPLICATION_1 and github.com/mkNyarko/capstone-blind-replication1.</w:t>
      </w:r>
    </w:p>
    <w:p>
      <w:pPr>
        <w:pStyle w:val="Titre1"/>
      </w:pPr>
      <w:r>
        <w:t xml:space="preserve">Computational environment</w:t>
      </w:r>
    </w:p>
    <w:tbl xmlns:a="http://schemas.openxmlformats.org/drawingml/2006/main" xmlns:pic="http://schemas.openxmlformats.org/drawingml/2006/picture">
      <w:tblPr>
        <w:tblLayout w:type="fixed"/>
        <w:jc w:val="center"/>
        <w:tblLook w:firstRow="1" w:lastRow="0" w:firstColumn="0" w:lastColumn="0" w:noHBand="0" w:noVBand="1"/>
      </w:tblPr>
      <w:tblGrid>
        <w:gridCol w:w="2736"/>
        <w:gridCol w:w="6624"/>
      </w:tblGrid>
      <w:tr>
        <w:trPr>
          <w:trHeight w:val="360" w:hRule="auto"/>
          <w:tblHeader/>
        </w:trPr>
        header1
        <w:tc>
          <w:tcPr>
            <w:tcBorders>
              <w:bottom w:val="single" w:sz="12" w:space="0" w:color="BFBFBF"/>
              <w:top w:val="single" w:sz="12" w:space="0" w:color="BFBFBF"/>
              <w:left w:val="none" w:sz="0" w:space="0" w:color="000000"/>
              <w:right w:val="none" w:sz="0" w:space="0" w:color="000000"/>
            </w:tcBorders>
            <w:shd w:val="clear" w:color="auto" w:fill="1F386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true"/>
                <w:u w:val="none"/>
                <w:strike w:val="false"/>
                <w:sz w:val="19"/>
                <w:szCs w:val="19"/>
                <w:color w:val="FFFFFF"/>
              </w:rPr>
            </w:pPr>
            <w:r>
              <w:rPr>
                <w:rFonts w:ascii="Arial" w:hAnsi="Helvetica" w:eastAsia="Helvetica" w:cs="Helvetica"/>
                <w:i w:val="false"/>
                <w:b w:val="true"/>
                <w:u w:val="none"/>
                <w:strike w:val="false"/>
                <w:sz w:val="19"/>
                <w:szCs w:val="19"/>
                <w:color w:val="FFFFFF"/>
              </w:rPr>
              <w:t xml:space="preserve">Setting</w:t>
            </w:r>
          </w:p>
        </w:tc>
        <w:tc>
          <w:tcPr>
            <w:tcBorders>
              <w:bottom w:val="single" w:sz="12" w:space="0" w:color="BFBFBF"/>
              <w:top w:val="single" w:sz="12" w:space="0" w:color="BFBFBF"/>
              <w:left w:val="none" w:sz="0" w:space="0" w:color="000000"/>
              <w:right w:val="none" w:sz="0" w:space="0" w:color="000000"/>
            </w:tcBorders>
            <w:shd w:val="clear" w:color="auto" w:fill="1F386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true"/>
                <w:u w:val="none"/>
                <w:strike w:val="false"/>
                <w:sz w:val="19"/>
                <w:szCs w:val="19"/>
                <w:color w:val="FFFFFF"/>
              </w:rPr>
            </w:pPr>
            <w:r>
              <w:rPr>
                <w:rFonts w:ascii="Arial" w:hAnsi="Helvetica" w:eastAsia="Helvetica" w:cs="Helvetica"/>
                <w:i w:val="false"/>
                <w:b w:val="true"/>
                <w:u w:val="none"/>
                <w:strike w:val="false"/>
                <w:sz w:val="19"/>
                <w:szCs w:val="19"/>
                <w:color w:val="FFFFFF"/>
              </w:rPr>
              <w:t xml:space="preserve">Value</w:t>
            </w:r>
          </w:p>
        </w:tc>
      </w:tr>
      <w:tr>
        <w:trPr>
          <w:trHeight w:val="360" w:hRule="auto"/>
        </w:trPr>
        body1
        <w:tc>
          <w:tcPr>
            <w:tcBorders>
              <w:bottom w:val="single" w:sz="6" w:space="0" w:color="BFBFBF"/>
              <w:top w:val="single" w:sz="12"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R</w:t>
            </w:r>
          </w:p>
        </w:tc>
        <w:tc>
          <w:tcPr>
            <w:tcBorders>
              <w:bottom w:val="single" w:sz="6" w:space="0" w:color="BFBFBF"/>
              <w:top w:val="single" w:sz="12"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4.4.1 (2024-06-14)</w:t>
            </w:r>
          </w:p>
        </w:tc>
      </w:tr>
      <w:tr>
        <w:trPr>
          <w:trHeight w:val="360" w:hRule="auto"/>
        </w:trPr>
        body2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Platform</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x86_64-apple-darwin20, macOS 15.7.9</w:t>
            </w:r>
          </w:p>
        </w:tc>
      </w:tr>
      <w:tr>
        <w:trPr>
          <w:trHeight w:val="360" w:hRule="auto"/>
        </w:trPr>
        body3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Locale (collation)</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en_US.UTF-8</w:t>
            </w:r>
          </w:p>
        </w:tc>
      </w:tr>
      <w:tr>
        <w:trPr>
          <w:trHeight w:val="360" w:hRule="auto"/>
        </w:trPr>
        body4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Time zone</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America/New_York</w:t>
            </w:r>
          </w:p>
        </w:tc>
      </w:tr>
      <w:tr>
        <w:trPr>
          <w:trHeight w:val="360" w:hRule="auto"/>
        </w:trPr>
        body5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Key packages</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data.table 1.17.0, dplyr 1.1.4, nnet 7.3-19, broom 1.0.11, pscl 1.5.9, gtsummary 2.4.0, ggplot2 4.0.0</w:t>
            </w:r>
          </w:p>
        </w:tc>
      </w:tr>
      <w:tr>
        <w:trPr>
          <w:trHeight w:val="360" w:hRule="auto"/>
        </w:trPr>
        body6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Package match with spec</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All 21 packages listed in the spec matched exactly</w:t>
            </w:r>
          </w:p>
        </w:tc>
      </w:tr>
      <w:tr>
        <w:trPr>
          <w:trHeight w:val="360" w:hRule="auto"/>
        </w:trPr>
        body7
        <w:tc>
          <w:tcPr>
            <w:tcBorders>
              <w:bottom w:val="single" w:sz="12"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Seeds</w:t>
            </w:r>
          </w:p>
        </w:tc>
        <w:tc>
          <w:tcPr>
            <w:tcBorders>
              <w:bottom w:val="single" w:sz="12"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None needed (multinom starts from zero weights; slice_* use with_ties = FALSE)</w:t>
            </w:r>
          </w:p>
        </w:tc>
      </w:tr>
    </w:tbl>
    <w:p>
      <w:pPr>
        <w:pStyle w:val="Normal"/>
        <w:jc w:val="left"/>
        <w:pBdr>
          <w:bottom w:val="none" w:sz="0" w:space="0" w:color="000000"/>
          <w:top w:val="none" w:sz="0" w:space="0" w:color="000000"/>
          <w:left w:val="none" w:sz="0" w:space="0" w:color="000000"/>
          <w:right w:val="none" w:sz="0" w:space="0" w:color="000000"/>
        </w:pBdr>
        <w:spacing w:after="200" w:before="0" w:line="240"/>
        <w:ind w:left="0" w:right="0" w:firstLine="0" w:firstLineChars="0"/>
      </w:pPr>
      <w:r>
        <w:rPr>
          <w:rFonts w:ascii="Arial" w:hAnsi="Arial" w:eastAsia="Arial" w:cs="Arial"/>
          <w:i w:val="true"/>
          <w:b w:val="false"/>
          <w:u w:val="none"/>
          <w:strike w:val="false"/>
          <w:sz w:val="18"/>
          <w:szCs w:val="18"/>
          <w:color w:val="595959"/>
        </w:rPr>
        <w:t xml:space="preserve">Table 2. Environment. Full sessionInfo() is in output/logs/sessionInfo.txt.</w:t>
      </w:r>
    </w:p>
    <w:p>
      <w:pPr>
        <w:pStyle w:val="Titre1"/>
      </w:pPr>
      <w:r>
        <w:t xml:space="preserve">How the step-by-step run worked</w:t>
      </w:r>
    </w:p>
    <w:p>
      <w:pPr>
        <w:pStyle w:val="Normal"/>
        <w:jc w:val="left"/>
        <w:pBdr>
          <w:bottom w:val="none" w:sz="0" w:space="0" w:color="000000"/>
          <w:top w:val="none" w:sz="0" w:space="0" w:color="000000"/>
          <w:left w:val="none" w:sz="0" w:space="0" w:color="000000"/>
          <w:right w:val="none" w:sz="0" w:space="0" w:color="000000"/>
        </w:pBdr>
        <w:spacing w:after="120" w:before="0" w:line="264"/>
        <w:ind w:left="0" w:right="0" w:firstLine="0" w:firstLineChars="0"/>
      </w:pPr>
      <w:r>
        <w:rPr>
          <w:rFonts w:ascii="Arial" w:hAnsi="Arial" w:eastAsia="Arial" w:cs="Arial"/>
          <w:i w:val="false"/>
          <w:b w:val="true"/>
          <w:u w:val="none"/>
          <w:strike w:val="false"/>
          <w:sz w:val="22"/>
          <w:szCs w:val="22"/>
          <w:color w:val="000000"/>
        </w:rPr>
        <w:t xml:space="preserve">Live session. </w:t>
      </w:r>
      <w:r>
        <w:rPr>
          <w:rFonts w:ascii="Arial" w:hAnsi="Arial" w:eastAsia="Arial" w:cs="Arial"/>
          <w:i w:val="false"/>
          <w:b w:val="false"/>
          <w:u w:val="none"/>
          <w:strike w:val="false"/>
          <w:sz w:val="22"/>
          <w:szCs w:val="22"/>
          <w:color w:val="000000"/>
        </w:rPr>
        <w:t xml:space="preserve">A single R session (watch_steps.R) was started in a Terminal tab named “R replication 2”. Each step was written as a numbered R file and placed in a queue/ folder. The session picked it up, ran it with every line of code and its comments echoed, printed the output, and then filed the step under R/. Data stayed in memory between steps, so each step continued from the last.</w:t>
      </w:r>
    </w:p>
    <w:p>
      <w:pPr>
        <w:pStyle w:val="Normal"/>
        <w:jc w:val="left"/>
        <w:pBdr>
          <w:bottom w:val="none" w:sz="0" w:space="0" w:color="000000"/>
          <w:top w:val="none" w:sz="0" w:space="0" w:color="000000"/>
          <w:left w:val="none" w:sz="0" w:space="0" w:color="000000"/>
          <w:right w:val="none" w:sz="0" w:space="0" w:color="000000"/>
        </w:pBdr>
        <w:spacing w:after="120" w:before="0" w:line="264"/>
        <w:ind w:left="0" w:right="0" w:firstLine="0" w:firstLineChars="0"/>
      </w:pPr>
      <w:r>
        <w:rPr>
          <w:rFonts w:ascii="Arial" w:hAnsi="Arial" w:eastAsia="Arial" w:cs="Arial"/>
          <w:i w:val="false"/>
          <w:b w:val="true"/>
          <w:u w:val="none"/>
          <w:strike w:val="false"/>
          <w:sz w:val="22"/>
          <w:szCs w:val="22"/>
          <w:color w:val="000000"/>
        </w:rPr>
        <w:t xml:space="preserve">Pauses. </w:t>
      </w:r>
      <w:r>
        <w:rPr>
          <w:rFonts w:ascii="Arial" w:hAnsi="Arial" w:eastAsia="Arial" w:cs="Arial"/>
          <w:i w:val="false"/>
          <w:b w:val="false"/>
          <w:u w:val="none"/>
          <w:strike w:val="false"/>
          <w:sz w:val="22"/>
          <w:szCs w:val="22"/>
          <w:color w:val="000000"/>
        </w:rPr>
        <w:t xml:space="preserve">The run stopped after each of the seven cohort checkpoints and after the reference-level checkpoint, and waited for a “go” before continuing. The analysis half was run in three further steps with a pause after each.</w:t>
      </w:r>
    </w:p>
    <w:p>
      <w:pPr>
        <w:pStyle w:val="Normal"/>
        <w:jc w:val="left"/>
        <w:pBdr>
          <w:bottom w:val="none" w:sz="0" w:space="0" w:color="000000"/>
          <w:top w:val="none" w:sz="0" w:space="0" w:color="000000"/>
          <w:left w:val="none" w:sz="0" w:space="0" w:color="000000"/>
          <w:right w:val="none" w:sz="0" w:space="0" w:color="000000"/>
        </w:pBdr>
        <w:spacing w:after="120" w:before="0" w:line="264"/>
        <w:ind w:left="0" w:right="0" w:firstLine="0" w:firstLineChars="0"/>
      </w:pPr>
      <w:r>
        <w:rPr>
          <w:rFonts w:ascii="Arial" w:hAnsi="Arial" w:eastAsia="Arial" w:cs="Arial"/>
          <w:i w:val="false"/>
          <w:b w:val="true"/>
          <w:u w:val="none"/>
          <w:strike w:val="false"/>
          <w:sz w:val="22"/>
          <w:szCs w:val="22"/>
          <w:color w:val="000000"/>
        </w:rPr>
        <w:t xml:space="preserve">One restart. </w:t>
      </w:r>
      <w:r>
        <w:rPr>
          <w:rFonts w:ascii="Arial" w:hAnsi="Arial" w:eastAsia="Arial" w:cs="Arial"/>
          <w:i w:val="false"/>
          <w:b w:val="false"/>
          <w:u w:val="none"/>
          <w:strike w:val="false"/>
          <w:sz w:val="22"/>
          <w:szCs w:val="22"/>
          <w:color w:val="000000"/>
        </w:rPr>
        <w:t xml:space="preserve">The session was restarted once, after the setup step, because Rscript strips comments from echoed code. Adding keep.source = TRUE made the terminal show the code exactly as written. No data had been processed at that point.</w:t>
      </w:r>
    </w:p>
    <w:p>
      <w:pPr>
        <w:pStyle w:val="Normal"/>
        <w:jc w:val="left"/>
        <w:pBdr>
          <w:bottom w:val="none" w:sz="0" w:space="0" w:color="000000"/>
          <w:top w:val="none" w:sz="0" w:space="0" w:color="000000"/>
          <w:left w:val="none" w:sz="0" w:space="0" w:color="000000"/>
          <w:right w:val="none" w:sz="0" w:space="0" w:color="000000"/>
        </w:pBdr>
        <w:spacing w:after="120" w:before="0" w:line="264"/>
        <w:ind w:left="0" w:right="0" w:firstLine="0" w:firstLineChars="0"/>
      </w:pPr>
      <w:r>
        <w:rPr>
          <w:rFonts w:ascii="Arial" w:hAnsi="Arial" w:eastAsia="Arial" w:cs="Arial"/>
          <w:i w:val="false"/>
          <w:b w:val="true"/>
          <w:u w:val="none"/>
          <w:strike w:val="false"/>
          <w:sz w:val="22"/>
          <w:szCs w:val="22"/>
          <w:color w:val="000000"/>
        </w:rPr>
        <w:t xml:space="preserve">Replay. </w:t>
      </w:r>
      <w:r>
        <w:rPr>
          <w:rFonts w:ascii="Arial" w:hAnsi="Arial" w:eastAsia="Arial" w:cs="Arial"/>
          <w:i w:val="false"/>
          <w:b w:val="false"/>
          <w:u w:val="none"/>
          <w:strike w:val="false"/>
          <w:sz w:val="22"/>
          <w:szCs w:val="22"/>
          <w:color w:val="000000"/>
        </w:rPr>
        <w:t xml:space="preserve">The 15 step files run end to end, with the same echoed output, using:</w:t>
      </w:r>
    </w:p>
    <w:p>
      <w:pPr>
        <w:pStyle w:val="Normal"/>
        <w:jc w:val="left"/>
        <w:pBdr>
          <w:bottom w:val="none" w:sz="0" w:space="0" w:color="000000"/>
          <w:top w:val="none" w:sz="0" w:space="0" w:color="000000"/>
          <w:left w:val="none" w:sz="0" w:space="0" w:color="000000"/>
          <w:right w:val="none" w:sz="0" w:space="0" w:color="000000"/>
        </w:pBdr>
        <w:spacing w:after="160" w:before="0" w:line="240"/>
        <w:ind w:left="240" w:right="0" w:firstLine="0" w:firstLineChars="0"/>
        <w:shd w:val="clear" w:color="auto" w:fill="F2F2F2"/>
      </w:pPr>
      <w:r>
        <w:rPr>
          <w:rFonts w:ascii="Courier New" w:hAnsi="Courier New" w:eastAsia="Courier New" w:cs="Courier New"/>
          <w:i w:val="false"/>
          <w:b w:val="false"/>
          <w:u w:val="none"/>
          <w:strike w:val="false"/>
          <w:sz w:val="18"/>
          <w:szCs w:val="18"/>
          <w:color w:val="000000"/>
        </w:rPr>
        <w:t xml:space="preserve">LC_ALL=en_US.UTF-8 Rscript run_all.R</w:t>
      </w:r>
    </w:p>
    <w:p>
      <w:pPr>
        <w:pStyle w:val="Titre1"/>
      </w:pPr>
      <w:r>
        <w:t xml:space="preserve">Step log</w:t>
      </w:r>
    </w:p>
    <w:tbl xmlns:a="http://schemas.openxmlformats.org/drawingml/2006/main" xmlns:pic="http://schemas.openxmlformats.org/drawingml/2006/picture">
      <w:tblPr>
        <w:tblLayout w:type="fixed"/>
        <w:jc w:val="center"/>
        <w:tblLook w:firstRow="1" w:lastRow="0" w:firstColumn="0" w:lastColumn="0" w:noHBand="0" w:noVBand="1"/>
      </w:tblPr>
      <w:tblGrid>
        <w:gridCol w:w="720"/>
        <w:gridCol w:w="5616"/>
        <w:gridCol w:w="3024"/>
      </w:tblGrid>
      <w:tr>
        <w:trPr>
          <w:trHeight w:val="360" w:hRule="auto"/>
          <w:tblHeader/>
        </w:trPr>
        header 1
        <w:tc>
          <w:tcPr>
            <w:tcBorders>
              <w:bottom w:val="single" w:sz="12" w:space="0" w:color="BFBFBF"/>
              <w:top w:val="single" w:sz="12" w:space="0" w:color="BFBFBF"/>
              <w:left w:val="none" w:sz="0" w:space="0" w:color="000000"/>
              <w:right w:val="none" w:sz="0" w:space="0" w:color="000000"/>
            </w:tcBorders>
            <w:shd w:val="clear" w:color="auto" w:fill="1F386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true"/>
                <w:u w:val="none"/>
                <w:strike w:val="false"/>
                <w:sz w:val="19"/>
                <w:szCs w:val="19"/>
                <w:color w:val="FFFFFF"/>
              </w:rPr>
            </w:pPr>
            <w:r>
              <w:rPr>
                <w:rFonts w:ascii="Arial" w:hAnsi="Helvetica" w:eastAsia="Helvetica" w:cs="Helvetica"/>
                <w:i w:val="false"/>
                <w:b w:val="true"/>
                <w:u w:val="none"/>
                <w:strike w:val="false"/>
                <w:sz w:val="19"/>
                <w:szCs w:val="19"/>
                <w:color w:val="FFFFFF"/>
              </w:rPr>
              <w:t xml:space="preserve">Step</w:t>
            </w:r>
          </w:p>
        </w:tc>
        <w:tc>
          <w:tcPr>
            <w:tcBorders>
              <w:bottom w:val="single" w:sz="12" w:space="0" w:color="BFBFBF"/>
              <w:top w:val="single" w:sz="12" w:space="0" w:color="BFBFBF"/>
              <w:left w:val="none" w:sz="0" w:space="0" w:color="000000"/>
              <w:right w:val="none" w:sz="0" w:space="0" w:color="000000"/>
            </w:tcBorders>
            <w:shd w:val="clear" w:color="auto" w:fill="1F386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true"/>
                <w:u w:val="none"/>
                <w:strike w:val="false"/>
                <w:sz w:val="19"/>
                <w:szCs w:val="19"/>
                <w:color w:val="FFFFFF"/>
              </w:rPr>
            </w:pPr>
            <w:r>
              <w:rPr>
                <w:rFonts w:ascii="Arial" w:hAnsi="Helvetica" w:eastAsia="Helvetica" w:cs="Helvetica"/>
                <w:i w:val="false"/>
                <w:b w:val="true"/>
                <w:u w:val="none"/>
                <w:strike w:val="false"/>
                <w:sz w:val="19"/>
                <w:szCs w:val="19"/>
                <w:color w:val="FFFFFF"/>
              </w:rPr>
              <w:t xml:space="preserve">What ran</w:t>
            </w:r>
          </w:p>
        </w:tc>
        <w:tc>
          <w:tcPr>
            <w:tcBorders>
              <w:bottom w:val="single" w:sz="12" w:space="0" w:color="BFBFBF"/>
              <w:top w:val="single" w:sz="12" w:space="0" w:color="BFBFBF"/>
              <w:left w:val="none" w:sz="0" w:space="0" w:color="000000"/>
              <w:right w:val="none" w:sz="0" w:space="0" w:color="000000"/>
            </w:tcBorders>
            <w:shd w:val="clear" w:color="auto" w:fill="1F386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true"/>
                <w:u w:val="none"/>
                <w:strike w:val="false"/>
                <w:sz w:val="19"/>
                <w:szCs w:val="19"/>
                <w:color w:val="FFFFFF"/>
              </w:rPr>
            </w:pPr>
            <w:r>
              <w:rPr>
                <w:rFonts w:ascii="Arial" w:hAnsi="Helvetica" w:eastAsia="Helvetica" w:cs="Helvetica"/>
                <w:i w:val="false"/>
                <w:b w:val="true"/>
                <w:u w:val="none"/>
                <w:strike w:val="false"/>
                <w:sz w:val="19"/>
                <w:szCs w:val="19"/>
                <w:color w:val="FFFFFF"/>
              </w:rPr>
              <w:t xml:space="preserve">Key output</w:t>
            </w:r>
          </w:p>
        </w:tc>
      </w:tr>
      <w:tr>
        <w:trPr>
          <w:trHeight w:val="360" w:hRule="auto"/>
        </w:trPr>
        body 1
        <w:tc>
          <w:tcPr>
            <w:tcBorders>
              <w:bottom w:val="single" w:sz="6" w:space="0" w:color="BFBFBF"/>
              <w:top w:val="single" w:sz="12"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00</w:t>
            </w:r>
          </w:p>
        </w:tc>
        <w:tc>
          <w:tcPr>
            <w:tcBorders>
              <w:bottom w:val="single" w:sz="6" w:space="0" w:color="BFBFBF"/>
              <w:top w:val="single" w:sz="12"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Setup: packages, paths, checkpoint tracker</w:t>
            </w:r>
          </w:p>
        </w:tc>
        <w:tc>
          <w:tcPr>
            <w:tcBorders>
              <w:bottom w:val="single" w:sz="6" w:space="0" w:color="BFBFBF"/>
              <w:top w:val="single" w:sz="12"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Package versions confirmed</w:t>
            </w:r>
          </w:p>
        </w:tc>
      </w:tr>
      <w:tr>
        <w:trPr>
          <w:trHeight w:val="360" w:hRule="auto"/>
        </w:trPr>
        body 2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01</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2024Q1 walkthrough: import DRUG/DEMO/REAC/OUTC; semaglutide rows; case list; US filter; three left joins; make.unique; collapse to one row per case (most severe outcome); write CSV</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7,307 drug rows → 5,943 cases → 4,935 US cases</w:t>
            </w:r>
          </w:p>
        </w:tc>
      </w:tr>
      <w:tr>
        <w:trPr>
          <w:trHeight w:val="360" w:hRule="auto"/>
        </w:trPr>
        body 3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02</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Same logic as a function, checked against Q1; Q2–Q4 (Q4: first semaglutide drug row per case)</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Q2 2,101 · Q3 7,344 · Q4 2,901 US cases</w:t>
            </w:r>
          </w:p>
        </w:tc>
      </w:tr>
      <w:tr>
        <w:trPr>
          <w:trHeight w:val="360" w:hRule="auto"/>
        </w:trPr>
        body 4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03</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Read quarters back (CSV round-trip), stack</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Checkpoint 1: 17,281</w:t>
            </w:r>
          </w:p>
        </w:tc>
      </w:tr>
      <w:tr>
        <w:trPr>
          <w:trHeight w:val="360" w:hRule="auto"/>
        </w:trPr>
        body 5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04</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Deduplicate: latest quarter per caseid; keep 19 spec columns</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Checkpoint 2: 15,971</w:t>
            </w:r>
          </w:p>
        </w:tc>
      </w:tr>
      <w:tr>
        <w:trPr>
          <w:trHeight w:val="360" w:hRule="auto"/>
        </w:trPr>
        body 6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05</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Age group (capital labels, relabelled); age filter 18–120; placeholder text → NA</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Checkpoint 3: 8,067</w:t>
            </w:r>
          </w:p>
        </w:tc>
      </w:tr>
      <w:tr>
        <w:trPr>
          <w:trHeight w:val="360" w:hRule="auto"/>
        </w:trPr>
        body 7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06</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Primary suspect filter; save cleaned file</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Checkpoint 4: 5,302</w:t>
            </w:r>
          </w:p>
        </w:tc>
      </w:tr>
      <w:tr>
        <w:trPr>
          <w:trHeight w:val="360" w:hRule="auto"/>
        </w:trPr>
        body 8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07</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Read cleaned file back; no OUTC record → NR; drop NR</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Checkpoint 5: 2,604</w:t>
            </w:r>
          </w:p>
        </w:tc>
      </w:tr>
      <w:tr>
        <w:trPr>
          <w:trHeight w:val="360" w:hRule="auto"/>
        </w:trPr>
        body 9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08</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Drop congenital anomaly (CA)</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Checkpoint 6: 2,601</w:t>
            </w:r>
          </w:p>
        </w:tc>
      </w:tr>
      <w:tr>
        <w:trPr>
          <w:trHeight w:val="360" w:hRule="auto"/>
        </w:trPr>
        body10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09</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Drop missing/UNK sex; relabel Male/Female</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Checkpoint 7: 2,427</w:t>
            </w:r>
          </w:p>
        </w:tc>
      </w:tr>
      <w:tr>
        <w:trPr>
          <w:trHeight w:val="360" w:hRule="auto"/>
        </w:trPr>
        body11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10</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Event categories, weight/dose categories, drug_standardized; reference levels</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dose_cat ref &lt;0.5 mg; wt_cat ref &lt;80 kg</w:t>
            </w:r>
          </w:p>
        </w:tc>
      </w:tr>
      <w:tr>
        <w:trPr>
          <w:trHeight w:val="360" w:hRule="auto"/>
        </w:trPr>
        body12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11</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Table 1; ROR/PRR (6 pairs)</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Table 1 (.html/.docx/.csv); ror_prr.csv</w:t>
            </w:r>
          </w:p>
        </w:tc>
      </w:tr>
      <w:tr>
        <w:trPr>
          <w:trHeight w:val="360" w:hRule="auto"/>
        </w:trPr>
        body13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12</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Main multinomial model; pseudo-R²; age × sex likelihood ratio test</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Converged (code 0); LRT p = 0.85</w:t>
            </w:r>
          </w:p>
        </w:tc>
      </w:tr>
      <w:tr>
        <w:trPr>
          <w:trHeight w:val="360" w:hRule="auto"/>
        </w:trPr>
        body14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13</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Sensitivity models S1–S4; Figures 2–4</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Sensitivity tables; 3 PNG figures</w:t>
            </w:r>
          </w:p>
        </w:tc>
      </w:tr>
      <w:tr>
        <w:trPr>
          <w:trHeight w:val="360" w:hRule="auto"/>
        </w:trPr>
        body15
        <w:tc>
          <w:tcPr>
            <w:tcBorders>
              <w:bottom w:val="single" w:sz="12"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14</w:t>
            </w:r>
          </w:p>
        </w:tc>
        <w:tc>
          <w:tcPr>
            <w:tcBorders>
              <w:bottom w:val="single" w:sz="12"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Aim 3 support: key-PT age RORs; product mix by age</w:t>
            </w:r>
          </w:p>
        </w:tc>
        <w:tc>
          <w:tcPr>
            <w:tcBorders>
              <w:bottom w:val="single" w:sz="12"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faers_key_pt_age_rors.csv; product mix</w:t>
            </w:r>
          </w:p>
        </w:tc>
      </w:tr>
    </w:tbl>
    <w:p>
      <w:pPr>
        <w:pStyle w:val="Normal"/>
        <w:jc w:val="left"/>
        <w:pBdr>
          <w:bottom w:val="none" w:sz="0" w:space="0" w:color="000000"/>
          <w:top w:val="none" w:sz="0" w:space="0" w:color="000000"/>
          <w:left w:val="none" w:sz="0" w:space="0" w:color="000000"/>
          <w:right w:val="none" w:sz="0" w:space="0" w:color="000000"/>
        </w:pBdr>
        <w:spacing w:after="200" w:before="0" w:line="240"/>
        <w:ind w:left="0" w:right="0" w:firstLine="0" w:firstLineChars="0"/>
      </w:pPr>
      <w:r>
        <w:rPr>
          <w:rFonts w:ascii="Arial" w:hAnsi="Arial" w:eastAsia="Arial" w:cs="Arial"/>
          <w:i w:val="true"/>
          <w:b w:val="false"/>
          <w:u w:val="none"/>
          <w:strike w:val="false"/>
          <w:sz w:val="18"/>
          <w:szCs w:val="18"/>
          <w:color w:val="595959"/>
        </w:rPr>
        <w:t xml:space="preserve">Table 3. The 15 steps, as filed in R/.</w:t>
      </w:r>
    </w:p>
    <w:p>
      <w:pPr>
        <w:pStyle w:val="Titre1"/>
      </w:pPr>
      <w:r>
        <w:t xml:space="preserve">Cohort checkpoints</w:t>
      </w:r>
    </w:p>
    <w:p>
      <w:pPr>
        <w:pStyle w:val="Normal"/>
        <w:jc w:val="left"/>
        <w:pBdr>
          <w:bottom w:val="none" w:sz="0" w:space="0" w:color="000000"/>
          <w:top w:val="none" w:sz="0" w:space="0" w:color="000000"/>
          <w:left w:val="none" w:sz="0" w:space="0" w:color="000000"/>
          <w:right w:val="none" w:sz="0" w:space="0" w:color="000000"/>
        </w:pBdr>
        <w:spacing w:after="120" w:before="0" w:line="264"/>
        <w:ind w:left="0" w:right="0" w:firstLine="0" w:firstLineChars="0"/>
      </w:pPr>
      <w:r>
        <w:rPr>
          <w:rFonts w:ascii="Arial" w:hAnsi="Arial" w:eastAsia="Arial" w:cs="Arial"/>
          <w:i w:val="false"/>
          <w:b w:val="false"/>
          <w:u w:val="none"/>
          <w:strike w:val="false"/>
          <w:sz w:val="22"/>
          <w:szCs w:val="22"/>
          <w:color w:val="000000"/>
        </w:rPr>
        <w:t xml:space="preserve">Before the first Figure 1 box, each quarter was already restricted to semaglutide reports, US reporter_country, and one row per case. Counts after each spec step:</w:t>
      </w:r>
    </w:p>
    <w:tbl xmlns:a="http://schemas.openxmlformats.org/drawingml/2006/main" xmlns:pic="http://schemas.openxmlformats.org/drawingml/2006/picture">
      <w:tblPr>
        <w:tblLayout w:type="fixed"/>
        <w:jc w:val="center"/>
        <w:tblLook w:firstRow="1" w:lastRow="0" w:firstColumn="0" w:lastColumn="0" w:noHBand="0" w:noVBand="1"/>
      </w:tblPr>
      <w:tblGrid>
        <w:gridCol w:w="432"/>
        <w:gridCol w:w="2736"/>
        <w:gridCol w:w="1008"/>
        <w:gridCol w:w="1008"/>
        <w:gridCol w:w="4176"/>
      </w:tblGrid>
      <w:tr>
        <w:trPr>
          <w:trHeight w:val="360" w:hRule="auto"/>
          <w:tblHeader/>
        </w:trPr>
        header1
        <w:tc>
          <w:tcPr>
            <w:tcBorders>
              <w:bottom w:val="single" w:sz="12" w:space="0" w:color="BFBFBF"/>
              <w:top w:val="single" w:sz="12" w:space="0" w:color="BFBFBF"/>
              <w:left w:val="none" w:sz="0" w:space="0" w:color="000000"/>
              <w:right w:val="none" w:sz="0" w:space="0" w:color="000000"/>
            </w:tcBorders>
            <w:shd w:val="clear" w:color="auto" w:fill="1F386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true"/>
                <w:u w:val="none"/>
                <w:strike w:val="false"/>
                <w:sz w:val="19"/>
                <w:szCs w:val="19"/>
                <w:color w:val="FFFFFF"/>
              </w:rPr>
            </w:pPr>
            <w:r>
              <w:rPr>
                <w:rFonts w:ascii="Arial" w:hAnsi="Helvetica" w:eastAsia="Helvetica" w:cs="Helvetica"/>
                <w:i w:val="false"/>
                <w:b w:val="true"/>
                <w:u w:val="none"/>
                <w:strike w:val="false"/>
                <w:sz w:val="19"/>
                <w:szCs w:val="19"/>
                <w:color w:val="FFFFFF"/>
              </w:rPr>
              <w:t xml:space="preserve">#</w:t>
            </w:r>
          </w:p>
        </w:tc>
        <w:tc>
          <w:tcPr>
            <w:tcBorders>
              <w:bottom w:val="single" w:sz="12" w:space="0" w:color="BFBFBF"/>
              <w:top w:val="single" w:sz="12" w:space="0" w:color="BFBFBF"/>
              <w:left w:val="none" w:sz="0" w:space="0" w:color="000000"/>
              <w:right w:val="none" w:sz="0" w:space="0" w:color="000000"/>
            </w:tcBorders>
            <w:shd w:val="clear" w:color="auto" w:fill="1F386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true"/>
                <w:u w:val="none"/>
                <w:strike w:val="false"/>
                <w:sz w:val="19"/>
                <w:szCs w:val="19"/>
                <w:color w:val="FFFFFF"/>
              </w:rPr>
            </w:pPr>
            <w:r>
              <w:rPr>
                <w:rFonts w:ascii="Arial" w:hAnsi="Helvetica" w:eastAsia="Helvetica" w:cs="Helvetica"/>
                <w:i w:val="false"/>
                <w:b w:val="true"/>
                <w:u w:val="none"/>
                <w:strike w:val="false"/>
                <w:sz w:val="19"/>
                <w:szCs w:val="19"/>
                <w:color w:val="FFFFFF"/>
              </w:rPr>
              <w:t xml:space="preserve">Figure 1 box</w:t>
            </w:r>
          </w:p>
        </w:tc>
        <w:tc>
          <w:tcPr>
            <w:tcBorders>
              <w:bottom w:val="single" w:sz="12" w:space="0" w:color="BFBFBF"/>
              <w:top w:val="single" w:sz="12" w:space="0" w:color="BFBFBF"/>
              <w:left w:val="none" w:sz="0" w:space="0" w:color="000000"/>
              <w:right w:val="none" w:sz="0" w:space="0" w:color="000000"/>
            </w:tcBorders>
            <w:shd w:val="clear" w:color="auto" w:fill="1F386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true"/>
                <w:u w:val="none"/>
                <w:strike w:val="false"/>
                <w:sz w:val="19"/>
                <w:szCs w:val="19"/>
                <w:color w:val="FFFFFF"/>
              </w:rPr>
            </w:pPr>
            <w:r>
              <w:rPr>
                <w:rFonts w:ascii="Arial" w:hAnsi="Helvetica" w:eastAsia="Helvetica" w:cs="Helvetica"/>
                <w:i w:val="false"/>
                <w:b w:val="true"/>
                <w:u w:val="none"/>
                <w:strike w:val="false"/>
                <w:sz w:val="19"/>
                <w:szCs w:val="19"/>
                <w:color w:val="FFFFFF"/>
              </w:rPr>
              <w:t xml:space="preserve">n</w:t>
            </w:r>
          </w:p>
        </w:tc>
        <w:tc>
          <w:tcPr>
            <w:tcBorders>
              <w:bottom w:val="single" w:sz="12" w:space="0" w:color="BFBFBF"/>
              <w:top w:val="single" w:sz="12" w:space="0" w:color="BFBFBF"/>
              <w:left w:val="none" w:sz="0" w:space="0" w:color="000000"/>
              <w:right w:val="none" w:sz="0" w:space="0" w:color="000000"/>
            </w:tcBorders>
            <w:shd w:val="clear" w:color="auto" w:fill="1F386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true"/>
                <w:u w:val="none"/>
                <w:strike w:val="false"/>
                <w:sz w:val="19"/>
                <w:szCs w:val="19"/>
                <w:color w:val="FFFFFF"/>
              </w:rPr>
            </w:pPr>
            <w:r>
              <w:rPr>
                <w:rFonts w:ascii="Arial" w:hAnsi="Helvetica" w:eastAsia="Helvetica" w:cs="Helvetica"/>
                <w:i w:val="false"/>
                <w:b w:val="true"/>
                <w:u w:val="none"/>
                <w:strike w:val="false"/>
                <w:sz w:val="19"/>
                <w:szCs w:val="19"/>
                <w:color w:val="FFFFFF"/>
              </w:rPr>
              <w:t xml:space="preserve">Removed</w:t>
            </w:r>
          </w:p>
        </w:tc>
        <w:tc>
          <w:tcPr>
            <w:tcBorders>
              <w:bottom w:val="single" w:sz="12" w:space="0" w:color="BFBFBF"/>
              <w:top w:val="single" w:sz="12" w:space="0" w:color="BFBFBF"/>
              <w:left w:val="none" w:sz="0" w:space="0" w:color="000000"/>
              <w:right w:val="none" w:sz="0" w:space="0" w:color="000000"/>
            </w:tcBorders>
            <w:shd w:val="clear" w:color="auto" w:fill="1F386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true"/>
                <w:u w:val="none"/>
                <w:strike w:val="false"/>
                <w:sz w:val="19"/>
                <w:szCs w:val="19"/>
                <w:color w:val="FFFFFF"/>
              </w:rPr>
            </w:pPr>
            <w:r>
              <w:rPr>
                <w:rFonts w:ascii="Arial" w:hAnsi="Helvetica" w:eastAsia="Helvetica" w:cs="Helvetica"/>
                <w:i w:val="false"/>
                <w:b w:val="true"/>
                <w:u w:val="none"/>
                <w:strike w:val="false"/>
                <w:sz w:val="19"/>
                <w:szCs w:val="19"/>
                <w:color w:val="FFFFFF"/>
              </w:rPr>
              <w:t xml:space="preserve">What was removed</w:t>
            </w:r>
          </w:p>
        </w:tc>
      </w:tr>
      <w:tr>
        <w:trPr>
          <w:trHeight w:val="360" w:hRule="auto"/>
        </w:trPr>
        body1
        <w:tc>
          <w:tcPr>
            <w:tcBorders>
              <w:bottom w:val="single" w:sz="6" w:space="0" w:color="BFBFBF"/>
              <w:top w:val="single" w:sz="12"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1</w:t>
            </w:r>
          </w:p>
        </w:tc>
        <w:tc>
          <w:tcPr>
            <w:tcBorders>
              <w:bottom w:val="single" w:sz="6" w:space="0" w:color="BFBFBF"/>
              <w:top w:val="single" w:sz="12"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Raw data (4 quarters combined)</w:t>
            </w:r>
          </w:p>
        </w:tc>
        <w:tc>
          <w:tcPr>
            <w:tcBorders>
              <w:bottom w:val="single" w:sz="6" w:space="0" w:color="BFBFBF"/>
              <w:top w:val="single" w:sz="12"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17,281</w:t>
            </w:r>
          </w:p>
        </w:tc>
        <w:tc>
          <w:tcPr>
            <w:tcBorders>
              <w:bottom w:val="single" w:sz="6" w:space="0" w:color="BFBFBF"/>
              <w:top w:val="single" w:sz="12"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w:t>
            </w:r>
          </w:p>
        </w:tc>
        <w:tc>
          <w:tcPr>
            <w:tcBorders>
              <w:bottom w:val="single" w:sz="6" w:space="0" w:color="BFBFBF"/>
              <w:top w:val="single" w:sz="12"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Stacked per-quarter files (Q1 4,935; Q2 2,101; Q3 7,344; Q4 2,901)</w:t>
            </w:r>
          </w:p>
        </w:tc>
      </w:tr>
      <w:tr>
        <w:trPr>
          <w:trHeight w:val="360" w:hRule="auto"/>
        </w:trPr>
        body2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2</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After deduplication</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15,971</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1,310</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Cases in more than one quarter: 1,172 in two, 60 in three, 6 in four</w:t>
            </w:r>
          </w:p>
        </w:tc>
      </w:tr>
      <w:tr>
        <w:trPr>
          <w:trHeight w:val="360" w:hRule="auto"/>
        </w:trPr>
        body3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3</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After cleaning age variable</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 8,067</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7,904</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Missing age 7,867; under 18: 34; over 120: 3</w:t>
            </w:r>
          </w:p>
        </w:tc>
      </w:tr>
      <w:tr>
        <w:trPr>
          <w:trHeight w:val="360" w:hRule="auto"/>
        </w:trPr>
        body4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4</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Primary Suspect (PS)</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 5,302</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2,765</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Concomitant 2,131; secondary suspect 631; interacting 3</w:t>
            </w:r>
          </w:p>
        </w:tc>
      </w:tr>
      <w:tr>
        <w:trPr>
          <w:trHeight w:val="360" w:hRule="auto"/>
        </w:trPr>
        body5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5</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After outcome cleaning</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 2,604</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2,698</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No OUTC record (non-serious): 2,698</w:t>
            </w:r>
          </w:p>
        </w:tc>
      </w:tr>
      <w:tr>
        <w:trPr>
          <w:trHeight w:val="360" w:hRule="auto"/>
        </w:trPr>
        body6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6</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After excluding congenital anomaly</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 2,601</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    3</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Congenital anomaly: 3</w:t>
            </w:r>
          </w:p>
        </w:tc>
      </w:tr>
      <w:tr>
        <w:trPr>
          <w:trHeight w:val="360" w:hRule="auto"/>
        </w:trPr>
        body7
        <w:tc>
          <w:tcPr>
            <w:tcBorders>
              <w:bottom w:val="single" w:sz="12"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7</w:t>
            </w:r>
          </w:p>
        </w:tc>
        <w:tc>
          <w:tcPr>
            <w:tcBorders>
              <w:bottom w:val="single" w:sz="12"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Final analytic sample</w:t>
            </w:r>
          </w:p>
        </w:tc>
        <w:tc>
          <w:tcPr>
            <w:tcBorders>
              <w:bottom w:val="single" w:sz="12"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 2,427</w:t>
            </w:r>
          </w:p>
        </w:tc>
        <w:tc>
          <w:tcPr>
            <w:tcBorders>
              <w:bottom w:val="single" w:sz="12"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  174</w:t>
            </w:r>
          </w:p>
        </w:tc>
        <w:tc>
          <w:tcPr>
            <w:tcBorders>
              <w:bottom w:val="single" w:sz="12"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Missing sex 171; UNK 3</w:t>
            </w:r>
          </w:p>
        </w:tc>
      </w:tr>
    </w:tbl>
    <w:p>
      <w:pPr>
        <w:pStyle w:val="Normal"/>
        <w:jc w:val="left"/>
        <w:pBdr>
          <w:bottom w:val="none" w:sz="0" w:space="0" w:color="000000"/>
          <w:top w:val="none" w:sz="0" w:space="0" w:color="000000"/>
          <w:left w:val="none" w:sz="0" w:space="0" w:color="000000"/>
          <w:right w:val="none" w:sz="0" w:space="0" w:color="000000"/>
        </w:pBdr>
        <w:spacing w:after="200" w:before="0" w:line="240"/>
        <w:ind w:left="0" w:right="0" w:firstLine="0" w:firstLineChars="0"/>
      </w:pPr>
      <w:r>
        <w:rPr>
          <w:rFonts w:ascii="Arial" w:hAnsi="Arial" w:eastAsia="Arial" w:cs="Arial"/>
          <w:i w:val="true"/>
          <w:b w:val="false"/>
          <w:u w:val="none"/>
          <w:strike w:val="false"/>
          <w:sz w:val="18"/>
          <w:szCs w:val="18"/>
          <w:color w:val="595959"/>
        </w:rPr>
        <w:t xml:space="preserve">Table 4. Checkpoint counts, for comparison with Figure 1.</w:t>
      </w:r>
    </w:p>
    <w:p>
      <w:pPr>
        <w:pStyle w:val="Normal"/>
        <w:jc w:val="left"/>
        <w:pBdr>
          <w:bottom w:val="none" w:sz="0" w:space="0" w:color="000000"/>
          <w:top w:val="none" w:sz="0" w:space="0" w:color="000000"/>
          <w:left w:val="none" w:sz="0" w:space="0" w:color="000000"/>
          <w:right w:val="none" w:sz="0" w:space="0" w:color="000000"/>
        </w:pBdr>
        <w:spacing w:after="120" w:before="0" w:line="264"/>
        <w:ind w:left="0" w:right="0" w:firstLine="0" w:firstLineChars="0"/>
      </w:pPr>
      <w:r>
        <w:rPr>
          <w:rFonts w:ascii="Arial" w:hAnsi="Arial" w:eastAsia="Arial" w:cs="Arial"/>
          <w:i w:val="false"/>
          <w:b w:val="true"/>
          <w:u w:val="none"/>
          <w:strike w:val="false"/>
          <w:sz w:val="22"/>
          <w:szCs w:val="22"/>
          <w:color w:val="000000"/>
        </w:rPr>
        <w:t xml:space="preserve">Age rule in practice. </w:t>
      </w:r>
      <w:r>
        <w:rPr>
          <w:rFonts w:ascii="Arial" w:hAnsi="Arial" w:eastAsia="Arial" w:cs="Arial"/>
          <w:i w:val="false"/>
          <w:b w:val="false"/>
          <w:u w:val="none"/>
          <w:strike w:val="false"/>
          <w:sz w:val="22"/>
          <w:szCs w:val="22"/>
          <w:color w:val="000000"/>
        </w:rPr>
        <w:t xml:space="preserve">Age was used as reported, with age_cod ignored, as the spec instructs. About 15 reports carried decade, month, week or day codes; a value such as 6 decades is read as age 6 and dropped. The largest raw age, 25,256, is almost certainly in days.</w:t>
      </w:r>
    </w:p>
    <w:p>
      <w:pPr>
        <w:pStyle w:val="Normal"/>
        <w:jc w:val="left"/>
        <w:pBdr>
          <w:bottom w:val="none" w:sz="0" w:space="0" w:color="000000"/>
          <w:top w:val="none" w:sz="0" w:space="0" w:color="000000"/>
          <w:left w:val="none" w:sz="0" w:space="0" w:color="000000"/>
          <w:right w:val="none" w:sz="0" w:space="0" w:color="000000"/>
        </w:pBdr>
        <w:spacing w:after="120" w:before="0" w:line="264"/>
        <w:ind w:left="0" w:right="0" w:firstLine="0" w:firstLineChars="0"/>
      </w:pPr>
      <w:r>
        <w:rPr>
          <w:rFonts w:ascii="Arial" w:hAnsi="Arial" w:eastAsia="Arial" w:cs="Arial"/>
          <w:i w:val="false"/>
          <w:b w:val="true"/>
          <w:u w:val="none"/>
          <w:strike w:val="false"/>
          <w:sz w:val="22"/>
          <w:szCs w:val="22"/>
          <w:color w:val="000000"/>
        </w:rPr>
        <w:t xml:space="preserve">Checkpoint 5 note. </w:t>
      </w:r>
      <w:r>
        <w:rPr>
          <w:rFonts w:ascii="Arial" w:hAnsi="Arial" w:eastAsia="Arial" w:cs="Arial"/>
          <w:i w:val="false"/>
          <w:b w:val="false"/>
          <w:u w:val="none"/>
          <w:strike w:val="false"/>
          <w:sz w:val="22"/>
          <w:szCs w:val="22"/>
          <w:color w:val="000000"/>
        </w:rPr>
        <w:t xml:space="preserve">After the CSV round-trip, all 2,698 missing outcome codes came back as empty strings, not NA. Both were recoded to NR and dropped at step 5. If the original code recoded only NA, its box 5 would read 5,302 and these reports would instead drop at box 6; the final sample would be unchanged.</w:t>
      </w:r>
    </w:p>
    <w:p>
      <w:pPr>
        <w:pStyle w:val="Titre1"/>
      </w:pPr>
      <w:r>
        <w:t xml:space="preserve">Model reference levels</w:t>
      </w:r>
    </w:p>
    <w:tbl xmlns:a="http://schemas.openxmlformats.org/drawingml/2006/main" xmlns:pic="http://schemas.openxmlformats.org/drawingml/2006/picture">
      <w:tblPr>
        <w:tblLayout w:type="fixed"/>
        <w:jc w:val="center"/>
        <w:tblLook w:firstRow="1" w:lastRow="0" w:firstColumn="0" w:lastColumn="0" w:noHBand="0" w:noVBand="1"/>
      </w:tblPr>
      <w:tblGrid>
        <w:gridCol w:w="2880"/>
        <w:gridCol w:w="2880"/>
        <w:gridCol w:w="3600"/>
      </w:tblGrid>
      <w:tr>
        <w:trPr>
          <w:trHeight w:val="360" w:hRule="auto"/>
          <w:tblHeader/>
        </w:trPr>
        header1
        <w:tc>
          <w:tcPr>
            <w:tcBorders>
              <w:bottom w:val="single" w:sz="12" w:space="0" w:color="BFBFBF"/>
              <w:top w:val="single" w:sz="12" w:space="0" w:color="BFBFBF"/>
              <w:left w:val="none" w:sz="0" w:space="0" w:color="000000"/>
              <w:right w:val="none" w:sz="0" w:space="0" w:color="000000"/>
            </w:tcBorders>
            <w:shd w:val="clear" w:color="auto" w:fill="1F386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true"/>
                <w:u w:val="none"/>
                <w:strike w:val="false"/>
                <w:sz w:val="19"/>
                <w:szCs w:val="19"/>
                <w:color w:val="FFFFFF"/>
              </w:rPr>
            </w:pPr>
            <w:r>
              <w:rPr>
                <w:rFonts w:ascii="Arial" w:hAnsi="Helvetica" w:eastAsia="Helvetica" w:cs="Helvetica"/>
                <w:i w:val="false"/>
                <w:b w:val="true"/>
                <w:u w:val="none"/>
                <w:strike w:val="false"/>
                <w:sz w:val="19"/>
                <w:szCs w:val="19"/>
                <w:color w:val="FFFFFF"/>
              </w:rPr>
              <w:t xml:space="preserve">Factor</w:t>
            </w:r>
          </w:p>
        </w:tc>
        <w:tc>
          <w:tcPr>
            <w:tcBorders>
              <w:bottom w:val="single" w:sz="12" w:space="0" w:color="BFBFBF"/>
              <w:top w:val="single" w:sz="12" w:space="0" w:color="BFBFBF"/>
              <w:left w:val="none" w:sz="0" w:space="0" w:color="000000"/>
              <w:right w:val="none" w:sz="0" w:space="0" w:color="000000"/>
            </w:tcBorders>
            <w:shd w:val="clear" w:color="auto" w:fill="1F386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true"/>
                <w:u w:val="none"/>
                <w:strike w:val="false"/>
                <w:sz w:val="19"/>
                <w:szCs w:val="19"/>
                <w:color w:val="FFFFFF"/>
              </w:rPr>
            </w:pPr>
            <w:r>
              <w:rPr>
                <w:rFonts w:ascii="Arial" w:hAnsi="Helvetica" w:eastAsia="Helvetica" w:cs="Helvetica"/>
                <w:i w:val="false"/>
                <w:b w:val="true"/>
                <w:u w:val="none"/>
                <w:strike w:val="false"/>
                <w:sz w:val="19"/>
                <w:szCs w:val="19"/>
                <w:color w:val="FFFFFF"/>
              </w:rPr>
              <w:t xml:space="preserve">Reference</w:t>
            </w:r>
          </w:p>
        </w:tc>
        <w:tc>
          <w:tcPr>
            <w:tcBorders>
              <w:bottom w:val="single" w:sz="12" w:space="0" w:color="BFBFBF"/>
              <w:top w:val="single" w:sz="12" w:space="0" w:color="BFBFBF"/>
              <w:left w:val="none" w:sz="0" w:space="0" w:color="000000"/>
              <w:right w:val="none" w:sz="0" w:space="0" w:color="000000"/>
            </w:tcBorders>
            <w:shd w:val="clear" w:color="auto" w:fill="1F386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true"/>
                <w:u w:val="none"/>
                <w:strike w:val="false"/>
                <w:sz w:val="19"/>
                <w:szCs w:val="19"/>
                <w:color w:val="FFFFFF"/>
              </w:rPr>
            </w:pPr>
            <w:r>
              <w:rPr>
                <w:rFonts w:ascii="Arial" w:hAnsi="Helvetica" w:eastAsia="Helvetica" w:cs="Helvetica"/>
                <w:i w:val="false"/>
                <w:b w:val="true"/>
                <w:u w:val="none"/>
                <w:strike w:val="false"/>
                <w:sz w:val="19"/>
                <w:szCs w:val="19"/>
                <w:color w:val="FFFFFF"/>
              </w:rPr>
              <w:t xml:space="preserve">How set</w:t>
            </w:r>
          </w:p>
        </w:tc>
      </w:tr>
      <w:tr>
        <w:trPr>
          <w:trHeight w:val="360" w:hRule="auto"/>
        </w:trPr>
        body1
        <w:tc>
          <w:tcPr>
            <w:tcBorders>
              <w:bottom w:val="single" w:sz="6" w:space="0" w:color="BFBFBF"/>
              <w:top w:val="single" w:sz="12"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event_category (outcome)</w:t>
            </w:r>
          </w:p>
        </w:tc>
        <w:tc>
          <w:tcPr>
            <w:tcBorders>
              <w:bottom w:val="single" w:sz="6" w:space="0" w:color="BFBFBF"/>
              <w:top w:val="single" w:sz="12"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Others</w:t>
            </w:r>
          </w:p>
        </w:tc>
        <w:tc>
          <w:tcPr>
            <w:tcBorders>
              <w:bottom w:val="single" w:sz="6" w:space="0" w:color="BFBFBF"/>
              <w:top w:val="single" w:sz="12"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Set explicitly</w:t>
            </w:r>
          </w:p>
        </w:tc>
      </w:tr>
      <w:tr>
        <w:trPr>
          <w:trHeight w:val="360" w:hRule="auto"/>
        </w:trPr>
        body2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age_group</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Younger Adults (18–64)</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Set explicitly</w:t>
            </w:r>
          </w:p>
        </w:tc>
      </w:tr>
      <w:tr>
        <w:trPr>
          <w:trHeight w:val="360" w:hRule="auto"/>
        </w:trPr>
        body3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sex</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Male</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Set explicitly</w:t>
            </w:r>
          </w:p>
        </w:tc>
      </w:tr>
      <w:tr>
        <w:trPr>
          <w:trHeight w:val="360" w:hRule="auto"/>
        </w:trPr>
        body4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quarter</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2024Q1</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Set explicitly</w:t>
            </w:r>
          </w:p>
        </w:tc>
      </w:tr>
      <w:tr>
        <w:trPr>
          <w:trHeight w:val="360" w:hRule="auto"/>
        </w:trPr>
        body5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dose_cat</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&lt;0.5 mg</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as.factor(), en_US.UTF-8 collation</w:t>
            </w:r>
          </w:p>
        </w:tc>
      </w:tr>
      <w:tr>
        <w:trPr>
          <w:trHeight w:val="360" w:hRule="auto"/>
        </w:trPr>
        body6
        <w:tc>
          <w:tcPr>
            <w:tcBorders>
              <w:bottom w:val="single" w:sz="12"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wt_cat</w:t>
            </w:r>
          </w:p>
        </w:tc>
        <w:tc>
          <w:tcPr>
            <w:tcBorders>
              <w:bottom w:val="single" w:sz="12"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&lt;80 kg</w:t>
            </w:r>
          </w:p>
        </w:tc>
        <w:tc>
          <w:tcPr>
            <w:tcBorders>
              <w:bottom w:val="single" w:sz="12"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as.factor(), en_US.UTF-8 collation</w:t>
            </w:r>
          </w:p>
        </w:tc>
      </w:tr>
    </w:tbl>
    <w:p>
      <w:pPr>
        <w:pStyle w:val="Normal"/>
        <w:jc w:val="left"/>
        <w:pBdr>
          <w:bottom w:val="none" w:sz="0" w:space="0" w:color="000000"/>
          <w:top w:val="none" w:sz="0" w:space="0" w:color="000000"/>
          <w:left w:val="none" w:sz="0" w:space="0" w:color="000000"/>
          <w:right w:val="none" w:sz="0" w:space="0" w:color="000000"/>
        </w:pBdr>
        <w:spacing w:after="200" w:before="0" w:line="240"/>
        <w:ind w:left="0" w:right="0" w:firstLine="0" w:firstLineChars="0"/>
      </w:pPr>
      <w:r>
        <w:rPr>
          <w:rFonts w:ascii="Arial" w:hAnsi="Arial" w:eastAsia="Arial" w:cs="Arial"/>
          <w:i w:val="true"/>
          <w:b w:val="false"/>
          <w:u w:val="none"/>
          <w:strike w:val="false"/>
          <w:sz w:val="18"/>
          <w:szCs w:val="18"/>
          <w:color w:val="595959"/>
        </w:rPr>
        <w:t xml:space="preserve">Table 5. Sort order chosen by R: dose_cat &lt;0.5 mg, ≥1 mg, 0.5–0.99 mg, Missing; wt_cat &lt;80 kg, ≥100 kg, 80–99 kg, Missing. Sensitivity 4 (relabelled dose): High dose.</w:t>
      </w:r>
    </w:p>
    <w:p>
      <w:pPr>
        <w:pStyle w:val="Titre1"/>
      </w:pPr>
      <w:r>
        <w:t xml:space="preserve">Results</w:t>
      </w:r>
    </w:p>
    <w:p>
      <w:pPr>
        <w:pStyle w:val="Titre2"/>
      </w:pPr>
      <w:r>
        <w:t xml:space="preserve">Descriptive table (Table 1)</w:t>
      </w:r>
    </w:p>
    <w:tbl xmlns:a="http://schemas.openxmlformats.org/drawingml/2006/main" xmlns:pic="http://schemas.openxmlformats.org/drawingml/2006/picture">
      <w:tblPr>
        <w:tblLayout w:type="fixed"/>
        <w:jc w:val="center"/>
        <w:tblLook w:firstRow="1" w:lastRow="0" w:firstColumn="0" w:lastColumn="0" w:noHBand="0" w:noVBand="1"/>
      </w:tblPr>
      <w:tblGrid>
        <w:gridCol w:w="3744"/>
        <w:gridCol w:w="1872"/>
        <w:gridCol w:w="1872"/>
        <w:gridCol w:w="1872"/>
      </w:tblGrid>
      <w:tr>
        <w:trPr>
          <w:trHeight w:val="360" w:hRule="auto"/>
          <w:tblHeader/>
        </w:trPr>
        header 1
        <w:tc>
          <w:tcPr>
            <w:tcBorders>
              <w:bottom w:val="single" w:sz="12" w:space="0" w:color="BFBFBF"/>
              <w:top w:val="single" w:sz="12" w:space="0" w:color="BFBFBF"/>
              <w:left w:val="none" w:sz="0" w:space="0" w:color="000000"/>
              <w:right w:val="none" w:sz="0" w:space="0" w:color="000000"/>
            </w:tcBorders>
            <w:shd w:val="clear" w:color="auto" w:fill="1F386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true"/>
                <w:u w:val="none"/>
                <w:strike w:val="false"/>
                <w:sz w:val="19"/>
                <w:szCs w:val="19"/>
                <w:color w:val="FFFFFF"/>
              </w:rPr>
            </w:pPr>
            <w:r>
              <w:rPr>
                <w:rFonts w:ascii="Arial" w:hAnsi="Helvetica" w:eastAsia="Helvetica" w:cs="Helvetica"/>
                <w:i w:val="false"/>
                <w:b w:val="true"/>
                <w:u w:val="none"/>
                <w:strike w:val="false"/>
                <w:sz w:val="19"/>
                <w:szCs w:val="19"/>
                <w:color w:val="FFFFFF"/>
              </w:rPr>
              <w:t xml:space="preserve">Characteristic</w:t>
            </w:r>
          </w:p>
        </w:tc>
        <w:tc>
          <w:tcPr>
            <w:tcBorders>
              <w:bottom w:val="single" w:sz="12" w:space="0" w:color="BFBFBF"/>
              <w:top w:val="single" w:sz="12" w:space="0" w:color="BFBFBF"/>
              <w:left w:val="none" w:sz="0" w:space="0" w:color="000000"/>
              <w:right w:val="none" w:sz="0" w:space="0" w:color="000000"/>
            </w:tcBorders>
            <w:shd w:val="clear" w:color="auto" w:fill="1F386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true"/>
                <w:u w:val="none"/>
                <w:strike w:val="false"/>
                <w:sz w:val="19"/>
                <w:szCs w:val="19"/>
                <w:color w:val="FFFFFF"/>
              </w:rPr>
            </w:pPr>
            <w:r>
              <w:rPr>
                <w:rFonts w:ascii="Arial" w:hAnsi="Helvetica" w:eastAsia="Helvetica" w:cs="Helvetica"/>
                <w:i w:val="false"/>
                <w:b w:val="true"/>
                <w:u w:val="none"/>
                <w:strike w:val="false"/>
                <w:sz w:val="19"/>
                <w:szCs w:val="19"/>
                <w:color w:val="FFFFFF"/>
              </w:rPr>
              <w:t xml:space="preserve">Overall (n = 2,427)</w:t>
            </w:r>
          </w:p>
        </w:tc>
        <w:tc>
          <w:tcPr>
            <w:tcBorders>
              <w:bottom w:val="single" w:sz="12" w:space="0" w:color="BFBFBF"/>
              <w:top w:val="single" w:sz="12" w:space="0" w:color="BFBFBF"/>
              <w:left w:val="none" w:sz="0" w:space="0" w:color="000000"/>
              <w:right w:val="none" w:sz="0" w:space="0" w:color="000000"/>
            </w:tcBorders>
            <w:shd w:val="clear" w:color="auto" w:fill="1F386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true"/>
                <w:u w:val="none"/>
                <w:strike w:val="false"/>
                <w:sz w:val="19"/>
                <w:szCs w:val="19"/>
                <w:color w:val="FFFFFF"/>
              </w:rPr>
            </w:pPr>
            <w:r>
              <w:rPr>
                <w:rFonts w:ascii="Arial" w:hAnsi="Helvetica" w:eastAsia="Helvetica" w:cs="Helvetica"/>
                <w:i w:val="false"/>
                <w:b w:val="true"/>
                <w:u w:val="none"/>
                <w:strike w:val="false"/>
                <w:sz w:val="19"/>
                <w:szCs w:val="19"/>
                <w:color w:val="FFFFFF"/>
              </w:rPr>
              <w:t xml:space="preserve">Younger 18–64 (n = 1,460)</w:t>
            </w:r>
          </w:p>
        </w:tc>
        <w:tc>
          <w:tcPr>
            <w:tcBorders>
              <w:bottom w:val="single" w:sz="12" w:space="0" w:color="BFBFBF"/>
              <w:top w:val="single" w:sz="12" w:space="0" w:color="BFBFBF"/>
              <w:left w:val="none" w:sz="0" w:space="0" w:color="000000"/>
              <w:right w:val="none" w:sz="0" w:space="0" w:color="000000"/>
            </w:tcBorders>
            <w:shd w:val="clear" w:color="auto" w:fill="1F386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true"/>
                <w:u w:val="none"/>
                <w:strike w:val="false"/>
                <w:sz w:val="19"/>
                <w:szCs w:val="19"/>
                <w:color w:val="FFFFFF"/>
              </w:rPr>
            </w:pPr>
            <w:r>
              <w:rPr>
                <w:rFonts w:ascii="Arial" w:hAnsi="Helvetica" w:eastAsia="Helvetica" w:cs="Helvetica"/>
                <w:i w:val="false"/>
                <w:b w:val="true"/>
                <w:u w:val="none"/>
                <w:strike w:val="false"/>
                <w:sz w:val="19"/>
                <w:szCs w:val="19"/>
                <w:color w:val="FFFFFF"/>
              </w:rPr>
              <w:t xml:space="preserve">Older ≥65 (n = 967)</w:t>
            </w:r>
          </w:p>
        </w:tc>
      </w:tr>
      <w:tr>
        <w:trPr>
          <w:trHeight w:val="360" w:hRule="auto"/>
        </w:trPr>
        body 1
        <w:tc>
          <w:tcPr>
            <w:tcBorders>
              <w:bottom w:val="single" w:sz="6" w:space="0" w:color="BFBFBF"/>
              <w:top w:val="single" w:sz="12" w:space="0" w:color="BFBFBF"/>
              <w:left w:val="none" w:sz="0" w:space="0" w:color="000000"/>
              <w:right w:val="none" w:sz="0" w:space="0" w:color="000000"/>
            </w:tcBorders>
            <w:shd w:val="clear" w:color="auto" w:fill="DEEAF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true"/>
                <w:u w:val="none"/>
                <w:strike w:val="false"/>
                <w:sz w:val="19"/>
                <w:szCs w:val="19"/>
                <w:color w:val="000000"/>
              </w:rPr>
            </w:pPr>
            <w:r>
              <w:rPr>
                <w:rFonts w:ascii="Arial" w:hAnsi="Helvetica" w:eastAsia="Helvetica" w:cs="Helvetica"/>
                <w:i w:val="false"/>
                <w:b w:val="true"/>
                <w:u w:val="none"/>
                <w:strike w:val="false"/>
                <w:sz w:val="19"/>
                <w:szCs w:val="19"/>
                <w:color w:val="000000"/>
              </w:rPr>
              <w:t xml:space="preserve">Sex</w:t>
            </w:r>
          </w:p>
        </w:tc>
        <w:tc>
          <w:tcPr>
            <w:tcBorders>
              <w:bottom w:val="single" w:sz="6" w:space="0" w:color="BFBFBF"/>
              <w:top w:val="single" w:sz="12" w:space="0" w:color="BFBFBF"/>
              <w:left w:val="none" w:sz="0" w:space="0" w:color="000000"/>
              <w:right w:val="none" w:sz="0" w:space="0" w:color="000000"/>
            </w:tcBorders>
            <w:shd w:val="clear" w:color="auto" w:fill="DEEAF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
            </w:r>
          </w:p>
        </w:tc>
        <w:tc>
          <w:tcPr>
            <w:tcBorders>
              <w:bottom w:val="single" w:sz="6" w:space="0" w:color="BFBFBF"/>
              <w:top w:val="single" w:sz="12" w:space="0" w:color="BFBFBF"/>
              <w:left w:val="none" w:sz="0" w:space="0" w:color="000000"/>
              <w:right w:val="none" w:sz="0" w:space="0" w:color="000000"/>
            </w:tcBorders>
            <w:shd w:val="clear" w:color="auto" w:fill="DEEAF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
            </w:r>
          </w:p>
        </w:tc>
        <w:tc>
          <w:tcPr>
            <w:tcBorders>
              <w:bottom w:val="single" w:sz="6" w:space="0" w:color="BFBFBF"/>
              <w:top w:val="single" w:sz="12" w:space="0" w:color="BFBFBF"/>
              <w:left w:val="none" w:sz="0" w:space="0" w:color="000000"/>
              <w:right w:val="none" w:sz="0" w:space="0" w:color="000000"/>
            </w:tcBorders>
            <w:shd w:val="clear" w:color="auto" w:fill="DEEAF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
            </w:r>
          </w:p>
        </w:tc>
      </w:tr>
      <w:tr>
        <w:trPr>
          <w:trHeight w:val="360" w:hRule="auto"/>
        </w:trPr>
        body 2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Male</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762 (31%)</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402 (28%)</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360 (37%)</w:t>
            </w:r>
          </w:p>
        </w:tc>
      </w:tr>
      <w:tr>
        <w:trPr>
          <w:trHeight w:val="360" w:hRule="auto"/>
        </w:trPr>
        body 3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Female</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1,665 (69%)</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1,058 (72%)</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607 (63%)</w:t>
            </w:r>
          </w:p>
        </w:tc>
      </w:tr>
      <w:tr>
        <w:trPr>
          <w:trHeight w:val="360" w:hRule="auto"/>
        </w:trPr>
        body 4
        <w:tc>
          <w:tcPr>
            <w:tcBorders>
              <w:bottom w:val="single" w:sz="6" w:space="0" w:color="BFBFBF"/>
              <w:top w:val="single" w:sz="6" w:space="0" w:color="BFBFBF"/>
              <w:left w:val="none" w:sz="0" w:space="0" w:color="000000"/>
              <w:right w:val="none" w:sz="0" w:space="0" w:color="000000"/>
            </w:tcBorders>
            <w:shd w:val="clear" w:color="auto" w:fill="DEEAF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true"/>
                <w:u w:val="none"/>
                <w:strike w:val="false"/>
                <w:sz w:val="19"/>
                <w:szCs w:val="19"/>
                <w:color w:val="000000"/>
              </w:rPr>
            </w:pPr>
            <w:r>
              <w:rPr>
                <w:rFonts w:ascii="Arial" w:hAnsi="Helvetica" w:eastAsia="Helvetica" w:cs="Helvetica"/>
                <w:i w:val="false"/>
                <w:b w:val="true"/>
                <w:u w:val="none"/>
                <w:strike w:val="false"/>
                <w:sz w:val="19"/>
                <w:szCs w:val="19"/>
                <w:color w:val="000000"/>
              </w:rPr>
              <w:t xml:space="preserve">Weight category</w:t>
            </w:r>
          </w:p>
        </w:tc>
        <w:tc>
          <w:tcPr>
            <w:tcBorders>
              <w:bottom w:val="single" w:sz="6" w:space="0" w:color="BFBFBF"/>
              <w:top w:val="single" w:sz="6" w:space="0" w:color="BFBFBF"/>
              <w:left w:val="none" w:sz="0" w:space="0" w:color="000000"/>
              <w:right w:val="none" w:sz="0" w:space="0" w:color="000000"/>
            </w:tcBorders>
            <w:shd w:val="clear" w:color="auto" w:fill="DEEAF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
            </w:r>
          </w:p>
        </w:tc>
        <w:tc>
          <w:tcPr>
            <w:tcBorders>
              <w:bottom w:val="single" w:sz="6" w:space="0" w:color="BFBFBF"/>
              <w:top w:val="single" w:sz="6" w:space="0" w:color="BFBFBF"/>
              <w:left w:val="none" w:sz="0" w:space="0" w:color="000000"/>
              <w:right w:val="none" w:sz="0" w:space="0" w:color="000000"/>
            </w:tcBorders>
            <w:shd w:val="clear" w:color="auto" w:fill="DEEAF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
            </w:r>
          </w:p>
        </w:tc>
        <w:tc>
          <w:tcPr>
            <w:tcBorders>
              <w:bottom w:val="single" w:sz="6" w:space="0" w:color="BFBFBF"/>
              <w:top w:val="single" w:sz="6" w:space="0" w:color="BFBFBF"/>
              <w:left w:val="none" w:sz="0" w:space="0" w:color="000000"/>
              <w:right w:val="none" w:sz="0" w:space="0" w:color="000000"/>
            </w:tcBorders>
            <w:shd w:val="clear" w:color="auto" w:fill="DEEAF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
            </w:r>
          </w:p>
        </w:tc>
      </w:tr>
      <w:tr>
        <w:trPr>
          <w:trHeight w:val="360" w:hRule="auto"/>
        </w:trPr>
        body 5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&lt;80 kg</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243 (10%)</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172 (12%)</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71 (7.3%)</w:t>
            </w:r>
          </w:p>
        </w:tc>
      </w:tr>
      <w:tr>
        <w:trPr>
          <w:trHeight w:val="360" w:hRule="auto"/>
        </w:trPr>
        body 6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≥100 kg</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330 (14%)</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251 (17%)</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79 (8.2%)</w:t>
            </w:r>
          </w:p>
        </w:tc>
      </w:tr>
      <w:tr>
        <w:trPr>
          <w:trHeight w:val="360" w:hRule="auto"/>
        </w:trPr>
        body 7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80–99 kg</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317 (13%)</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239 (16%)</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78 (8.1%)</w:t>
            </w:r>
          </w:p>
        </w:tc>
      </w:tr>
      <w:tr>
        <w:trPr>
          <w:trHeight w:val="360" w:hRule="auto"/>
        </w:trPr>
        body 8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Missing</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1,537 (63%)</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798 (55%)</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739 (76%)</w:t>
            </w:r>
          </w:p>
        </w:tc>
      </w:tr>
      <w:tr>
        <w:trPr>
          <w:trHeight w:val="360" w:hRule="auto"/>
        </w:trPr>
        body 9
        <w:tc>
          <w:tcPr>
            <w:tcBorders>
              <w:bottom w:val="single" w:sz="6" w:space="0" w:color="BFBFBF"/>
              <w:top w:val="single" w:sz="6" w:space="0" w:color="BFBFBF"/>
              <w:left w:val="none" w:sz="0" w:space="0" w:color="000000"/>
              <w:right w:val="none" w:sz="0" w:space="0" w:color="000000"/>
            </w:tcBorders>
            <w:shd w:val="clear" w:color="auto" w:fill="DEEAF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true"/>
                <w:u w:val="none"/>
                <w:strike w:val="false"/>
                <w:sz w:val="19"/>
                <w:szCs w:val="19"/>
                <w:color w:val="000000"/>
              </w:rPr>
            </w:pPr>
            <w:r>
              <w:rPr>
                <w:rFonts w:ascii="Arial" w:hAnsi="Helvetica" w:eastAsia="Helvetica" w:cs="Helvetica"/>
                <w:i w:val="false"/>
                <w:b w:val="true"/>
                <w:u w:val="none"/>
                <w:strike w:val="false"/>
                <w:sz w:val="19"/>
                <w:szCs w:val="19"/>
                <w:color w:val="000000"/>
              </w:rPr>
              <w:t xml:space="preserve">Dose category</w:t>
            </w:r>
          </w:p>
        </w:tc>
        <w:tc>
          <w:tcPr>
            <w:tcBorders>
              <w:bottom w:val="single" w:sz="6" w:space="0" w:color="BFBFBF"/>
              <w:top w:val="single" w:sz="6" w:space="0" w:color="BFBFBF"/>
              <w:left w:val="none" w:sz="0" w:space="0" w:color="000000"/>
              <w:right w:val="none" w:sz="0" w:space="0" w:color="000000"/>
            </w:tcBorders>
            <w:shd w:val="clear" w:color="auto" w:fill="DEEAF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
            </w:r>
          </w:p>
        </w:tc>
        <w:tc>
          <w:tcPr>
            <w:tcBorders>
              <w:bottom w:val="single" w:sz="6" w:space="0" w:color="BFBFBF"/>
              <w:top w:val="single" w:sz="6" w:space="0" w:color="BFBFBF"/>
              <w:left w:val="none" w:sz="0" w:space="0" w:color="000000"/>
              <w:right w:val="none" w:sz="0" w:space="0" w:color="000000"/>
            </w:tcBorders>
            <w:shd w:val="clear" w:color="auto" w:fill="DEEAF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
            </w:r>
          </w:p>
        </w:tc>
        <w:tc>
          <w:tcPr>
            <w:tcBorders>
              <w:bottom w:val="single" w:sz="6" w:space="0" w:color="BFBFBF"/>
              <w:top w:val="single" w:sz="6" w:space="0" w:color="BFBFBF"/>
              <w:left w:val="none" w:sz="0" w:space="0" w:color="000000"/>
              <w:right w:val="none" w:sz="0" w:space="0" w:color="000000"/>
            </w:tcBorders>
            <w:shd w:val="clear" w:color="auto" w:fill="DEEAF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
            </w:r>
          </w:p>
        </w:tc>
      </w:tr>
      <w:tr>
        <w:trPr>
          <w:trHeight w:val="360" w:hRule="auto"/>
        </w:trPr>
        body10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&lt;0.5 mg</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289 (12%)</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175 (12%)</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114 (12%)</w:t>
            </w:r>
          </w:p>
        </w:tc>
      </w:tr>
      <w:tr>
        <w:trPr>
          <w:trHeight w:val="360" w:hRule="auto"/>
        </w:trPr>
        body11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≥1 mg</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534 (22%)</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303 (21%)</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231 (24%)</w:t>
            </w:r>
          </w:p>
        </w:tc>
      </w:tr>
      <w:tr>
        <w:trPr>
          <w:trHeight w:val="360" w:hRule="auto"/>
        </w:trPr>
        body12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0.5–0.99 mg</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310 (13%)</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152 (10%)</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158 (16%)</w:t>
            </w:r>
          </w:p>
        </w:tc>
      </w:tr>
      <w:tr>
        <w:trPr>
          <w:trHeight w:val="360" w:hRule="auto"/>
        </w:trPr>
        body13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Missing</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1,294 (53%)</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830 (57%)</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464 (48%)</w:t>
            </w:r>
          </w:p>
        </w:tc>
      </w:tr>
      <w:tr>
        <w:trPr>
          <w:trHeight w:val="360" w:hRule="auto"/>
        </w:trPr>
        body14
        <w:tc>
          <w:tcPr>
            <w:tcBorders>
              <w:bottom w:val="single" w:sz="6" w:space="0" w:color="BFBFBF"/>
              <w:top w:val="single" w:sz="6" w:space="0" w:color="BFBFBF"/>
              <w:left w:val="none" w:sz="0" w:space="0" w:color="000000"/>
              <w:right w:val="none" w:sz="0" w:space="0" w:color="000000"/>
            </w:tcBorders>
            <w:shd w:val="clear" w:color="auto" w:fill="DEEAF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true"/>
                <w:u w:val="none"/>
                <w:strike w:val="false"/>
                <w:sz w:val="19"/>
                <w:szCs w:val="19"/>
                <w:color w:val="000000"/>
              </w:rPr>
            </w:pPr>
            <w:r>
              <w:rPr>
                <w:rFonts w:ascii="Arial" w:hAnsi="Helvetica" w:eastAsia="Helvetica" w:cs="Helvetica"/>
                <w:i w:val="false"/>
                <w:b w:val="true"/>
                <w:u w:val="none"/>
                <w:strike w:val="false"/>
                <w:sz w:val="19"/>
                <w:szCs w:val="19"/>
                <w:color w:val="000000"/>
              </w:rPr>
              <w:t xml:space="preserve">Drug (standardized)</w:t>
            </w:r>
          </w:p>
        </w:tc>
        <w:tc>
          <w:tcPr>
            <w:tcBorders>
              <w:bottom w:val="single" w:sz="6" w:space="0" w:color="BFBFBF"/>
              <w:top w:val="single" w:sz="6" w:space="0" w:color="BFBFBF"/>
              <w:left w:val="none" w:sz="0" w:space="0" w:color="000000"/>
              <w:right w:val="none" w:sz="0" w:space="0" w:color="000000"/>
            </w:tcBorders>
            <w:shd w:val="clear" w:color="auto" w:fill="DEEAF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
            </w:r>
          </w:p>
        </w:tc>
        <w:tc>
          <w:tcPr>
            <w:tcBorders>
              <w:bottom w:val="single" w:sz="6" w:space="0" w:color="BFBFBF"/>
              <w:top w:val="single" w:sz="6" w:space="0" w:color="BFBFBF"/>
              <w:left w:val="none" w:sz="0" w:space="0" w:color="000000"/>
              <w:right w:val="none" w:sz="0" w:space="0" w:color="000000"/>
            </w:tcBorders>
            <w:shd w:val="clear" w:color="auto" w:fill="DEEAF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
            </w:r>
          </w:p>
        </w:tc>
        <w:tc>
          <w:tcPr>
            <w:tcBorders>
              <w:bottom w:val="single" w:sz="6" w:space="0" w:color="BFBFBF"/>
              <w:top w:val="single" w:sz="6" w:space="0" w:color="BFBFBF"/>
              <w:left w:val="none" w:sz="0" w:space="0" w:color="000000"/>
              <w:right w:val="none" w:sz="0" w:space="0" w:color="000000"/>
            </w:tcBorders>
            <w:shd w:val="clear" w:color="auto" w:fill="DEEAF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
            </w:r>
          </w:p>
        </w:tc>
      </w:tr>
      <w:tr>
        <w:trPr>
          <w:trHeight w:val="360" w:hRule="auto"/>
        </w:trPr>
        body15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Combination Product</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27 (1.1%)</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24 (1.6%)</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3 (0.3%)</w:t>
            </w:r>
          </w:p>
        </w:tc>
      </w:tr>
      <w:tr>
        <w:trPr>
          <w:trHeight w:val="360" w:hRule="auto"/>
        </w:trPr>
        body16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Ozempic</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1,656 (68%)</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849 (58%)</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807 (83%)</w:t>
            </w:r>
          </w:p>
        </w:tc>
      </w:tr>
      <w:tr>
        <w:trPr>
          <w:trHeight w:val="360" w:hRule="auto"/>
        </w:trPr>
        body17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Rybelsus</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106 (4.4%)</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53 (3.6%)</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53 (5.5%)</w:t>
            </w:r>
          </w:p>
        </w:tc>
      </w:tr>
      <w:tr>
        <w:trPr>
          <w:trHeight w:val="360" w:hRule="auto"/>
        </w:trPr>
        body18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Semaglutide (Unspecified)</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187 (7.7%)</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136 (9.3%)</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51 (5.3%)</w:t>
            </w:r>
          </w:p>
        </w:tc>
      </w:tr>
      <w:tr>
        <w:trPr>
          <w:trHeight w:val="360" w:hRule="auto"/>
        </w:trPr>
        body19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Wegovy</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451 (19%)</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398 (27%)</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53 (5.5%)</w:t>
            </w:r>
          </w:p>
        </w:tc>
      </w:tr>
      <w:tr>
        <w:trPr>
          <w:trHeight w:val="360" w:hRule="auto"/>
        </w:trPr>
        body20
        <w:tc>
          <w:tcPr>
            <w:tcBorders>
              <w:bottom w:val="single" w:sz="6" w:space="0" w:color="BFBFBF"/>
              <w:top w:val="single" w:sz="6" w:space="0" w:color="BFBFBF"/>
              <w:left w:val="none" w:sz="0" w:space="0" w:color="000000"/>
              <w:right w:val="none" w:sz="0" w:space="0" w:color="000000"/>
            </w:tcBorders>
            <w:shd w:val="clear" w:color="auto" w:fill="DEEAF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true"/>
                <w:u w:val="none"/>
                <w:strike w:val="false"/>
                <w:sz w:val="19"/>
                <w:szCs w:val="19"/>
                <w:color w:val="000000"/>
              </w:rPr>
            </w:pPr>
            <w:r>
              <w:rPr>
                <w:rFonts w:ascii="Arial" w:hAnsi="Helvetica" w:eastAsia="Helvetica" w:cs="Helvetica"/>
                <w:i w:val="false"/>
                <w:b w:val="true"/>
                <w:u w:val="none"/>
                <w:strike w:val="false"/>
                <w:sz w:val="19"/>
                <w:szCs w:val="19"/>
                <w:color w:val="000000"/>
              </w:rPr>
              <w:t xml:space="preserve">Quarter of report</w:t>
            </w:r>
          </w:p>
        </w:tc>
        <w:tc>
          <w:tcPr>
            <w:tcBorders>
              <w:bottom w:val="single" w:sz="6" w:space="0" w:color="BFBFBF"/>
              <w:top w:val="single" w:sz="6" w:space="0" w:color="BFBFBF"/>
              <w:left w:val="none" w:sz="0" w:space="0" w:color="000000"/>
              <w:right w:val="none" w:sz="0" w:space="0" w:color="000000"/>
            </w:tcBorders>
            <w:shd w:val="clear" w:color="auto" w:fill="DEEAF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
            </w:r>
          </w:p>
        </w:tc>
        <w:tc>
          <w:tcPr>
            <w:tcBorders>
              <w:bottom w:val="single" w:sz="6" w:space="0" w:color="BFBFBF"/>
              <w:top w:val="single" w:sz="6" w:space="0" w:color="BFBFBF"/>
              <w:left w:val="none" w:sz="0" w:space="0" w:color="000000"/>
              <w:right w:val="none" w:sz="0" w:space="0" w:color="000000"/>
            </w:tcBorders>
            <w:shd w:val="clear" w:color="auto" w:fill="DEEAF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
            </w:r>
          </w:p>
        </w:tc>
        <w:tc>
          <w:tcPr>
            <w:tcBorders>
              <w:bottom w:val="single" w:sz="6" w:space="0" w:color="BFBFBF"/>
              <w:top w:val="single" w:sz="6" w:space="0" w:color="BFBFBF"/>
              <w:left w:val="none" w:sz="0" w:space="0" w:color="000000"/>
              <w:right w:val="none" w:sz="0" w:space="0" w:color="000000"/>
            </w:tcBorders>
            <w:shd w:val="clear" w:color="auto" w:fill="DEEAF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
            </w:r>
          </w:p>
        </w:tc>
      </w:tr>
      <w:tr>
        <w:trPr>
          <w:trHeight w:val="360" w:hRule="auto"/>
        </w:trPr>
        body21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2024Q1</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598 (25%)</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383 (26%)</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215 (22%)</w:t>
            </w:r>
          </w:p>
        </w:tc>
      </w:tr>
      <w:tr>
        <w:trPr>
          <w:trHeight w:val="360" w:hRule="auto"/>
        </w:trPr>
        body22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2024Q2</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439 (18%)</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239 (16%)</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200 (21%)</w:t>
            </w:r>
          </w:p>
        </w:tc>
      </w:tr>
      <w:tr>
        <w:trPr>
          <w:trHeight w:val="360" w:hRule="auto"/>
        </w:trPr>
        body23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2024Q3</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631 (26%)</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385 (26%)</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246 (25%)</w:t>
            </w:r>
          </w:p>
        </w:tc>
      </w:tr>
      <w:tr>
        <w:trPr>
          <w:trHeight w:val="360" w:hRule="auto"/>
        </w:trPr>
        body24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2024Q4</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759 (31%)</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453 (31%)</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306 (32%)</w:t>
            </w:r>
          </w:p>
        </w:tc>
      </w:tr>
      <w:tr>
        <w:trPr>
          <w:trHeight w:val="360" w:hRule="auto"/>
        </w:trPr>
        body25
        <w:tc>
          <w:tcPr>
            <w:tcBorders>
              <w:bottom w:val="single" w:sz="6" w:space="0" w:color="BFBFBF"/>
              <w:top w:val="single" w:sz="6" w:space="0" w:color="BFBFBF"/>
              <w:left w:val="none" w:sz="0" w:space="0" w:color="000000"/>
              <w:right w:val="none" w:sz="0" w:space="0" w:color="000000"/>
            </w:tcBorders>
            <w:shd w:val="clear" w:color="auto" w:fill="DEEAF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true"/>
                <w:u w:val="none"/>
                <w:strike w:val="false"/>
                <w:sz w:val="19"/>
                <w:szCs w:val="19"/>
                <w:color w:val="000000"/>
              </w:rPr>
            </w:pPr>
            <w:r>
              <w:rPr>
                <w:rFonts w:ascii="Arial" w:hAnsi="Helvetica" w:eastAsia="Helvetica" w:cs="Helvetica"/>
                <w:i w:val="false"/>
                <w:b w:val="true"/>
                <w:u w:val="none"/>
                <w:strike w:val="false"/>
                <w:sz w:val="19"/>
                <w:szCs w:val="19"/>
                <w:color w:val="000000"/>
              </w:rPr>
              <w:t xml:space="preserve">Adverse event category</w:t>
            </w:r>
          </w:p>
        </w:tc>
        <w:tc>
          <w:tcPr>
            <w:tcBorders>
              <w:bottom w:val="single" w:sz="6" w:space="0" w:color="BFBFBF"/>
              <w:top w:val="single" w:sz="6" w:space="0" w:color="BFBFBF"/>
              <w:left w:val="none" w:sz="0" w:space="0" w:color="000000"/>
              <w:right w:val="none" w:sz="0" w:space="0" w:color="000000"/>
            </w:tcBorders>
            <w:shd w:val="clear" w:color="auto" w:fill="DEEAF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
            </w:r>
          </w:p>
        </w:tc>
        <w:tc>
          <w:tcPr>
            <w:tcBorders>
              <w:bottom w:val="single" w:sz="6" w:space="0" w:color="BFBFBF"/>
              <w:top w:val="single" w:sz="6" w:space="0" w:color="BFBFBF"/>
              <w:left w:val="none" w:sz="0" w:space="0" w:color="000000"/>
              <w:right w:val="none" w:sz="0" w:space="0" w:color="000000"/>
            </w:tcBorders>
            <w:shd w:val="clear" w:color="auto" w:fill="DEEAF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
            </w:r>
          </w:p>
        </w:tc>
        <w:tc>
          <w:tcPr>
            <w:tcBorders>
              <w:bottom w:val="single" w:sz="6" w:space="0" w:color="BFBFBF"/>
              <w:top w:val="single" w:sz="6" w:space="0" w:color="BFBFBF"/>
              <w:left w:val="none" w:sz="0" w:space="0" w:color="000000"/>
              <w:right w:val="none" w:sz="0" w:space="0" w:color="000000"/>
            </w:tcBorders>
            <w:shd w:val="clear" w:color="auto" w:fill="DEEAF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
            </w:r>
          </w:p>
        </w:tc>
      </w:tr>
      <w:tr>
        <w:trPr>
          <w:trHeight w:val="360" w:hRule="auto"/>
        </w:trPr>
        body26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Others</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1,499 (62%)</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850 (58%)</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649 (67%)</w:t>
            </w:r>
          </w:p>
        </w:tc>
      </w:tr>
      <w:tr>
        <w:trPr>
          <w:trHeight w:val="360" w:hRule="auto"/>
        </w:trPr>
        body27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Gastro-Intestinal and Metabolic</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706 (29%)</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465 (32%)</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241 (25%)</w:t>
            </w:r>
          </w:p>
        </w:tc>
      </w:tr>
      <w:tr>
        <w:trPr>
          <w:trHeight w:val="360" w:hRule="auto"/>
        </w:trPr>
        body28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Cardiovascular</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102 (4.2%)</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51 (3.5%)</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51 (5.3%)</w:t>
            </w:r>
          </w:p>
        </w:tc>
      </w:tr>
      <w:tr>
        <w:trPr>
          <w:trHeight w:val="360" w:hRule="auto"/>
        </w:trPr>
        body29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Psychiatric-related</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120 (4.9%)</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94 (6.4%)</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26 (2.7%)</w:t>
            </w:r>
          </w:p>
        </w:tc>
      </w:tr>
      <w:tr>
        <w:trPr>
          <w:trHeight w:val="360" w:hRule="auto"/>
        </w:trPr>
        body30
        <w:tc>
          <w:tcPr>
            <w:tcBorders>
              <w:bottom w:val="single" w:sz="6" w:space="0" w:color="BFBFBF"/>
              <w:top w:val="single" w:sz="6" w:space="0" w:color="BFBFBF"/>
              <w:left w:val="none" w:sz="0" w:space="0" w:color="000000"/>
              <w:right w:val="none" w:sz="0" w:space="0" w:color="000000"/>
            </w:tcBorders>
            <w:shd w:val="clear" w:color="auto" w:fill="DEEAF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true"/>
                <w:u w:val="none"/>
                <w:strike w:val="false"/>
                <w:sz w:val="19"/>
                <w:szCs w:val="19"/>
                <w:color w:val="000000"/>
              </w:rPr>
            </w:pPr>
            <w:r>
              <w:rPr>
                <w:rFonts w:ascii="Arial" w:hAnsi="Helvetica" w:eastAsia="Helvetica" w:cs="Helvetica"/>
                <w:i w:val="false"/>
                <w:b w:val="true"/>
                <w:u w:val="none"/>
                <w:strike w:val="false"/>
                <w:sz w:val="19"/>
                <w:szCs w:val="19"/>
                <w:color w:val="000000"/>
              </w:rPr>
              <w:t xml:space="preserve">Outcome category</w:t>
            </w:r>
          </w:p>
        </w:tc>
        <w:tc>
          <w:tcPr>
            <w:tcBorders>
              <w:bottom w:val="single" w:sz="6" w:space="0" w:color="BFBFBF"/>
              <w:top w:val="single" w:sz="6" w:space="0" w:color="BFBFBF"/>
              <w:left w:val="none" w:sz="0" w:space="0" w:color="000000"/>
              <w:right w:val="none" w:sz="0" w:space="0" w:color="000000"/>
            </w:tcBorders>
            <w:shd w:val="clear" w:color="auto" w:fill="DEEAF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
            </w:r>
          </w:p>
        </w:tc>
        <w:tc>
          <w:tcPr>
            <w:tcBorders>
              <w:bottom w:val="single" w:sz="6" w:space="0" w:color="BFBFBF"/>
              <w:top w:val="single" w:sz="6" w:space="0" w:color="BFBFBF"/>
              <w:left w:val="none" w:sz="0" w:space="0" w:color="000000"/>
              <w:right w:val="none" w:sz="0" w:space="0" w:color="000000"/>
            </w:tcBorders>
            <w:shd w:val="clear" w:color="auto" w:fill="DEEAF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
            </w:r>
          </w:p>
        </w:tc>
        <w:tc>
          <w:tcPr>
            <w:tcBorders>
              <w:bottom w:val="single" w:sz="6" w:space="0" w:color="BFBFBF"/>
              <w:top w:val="single" w:sz="6" w:space="0" w:color="BFBFBF"/>
              <w:left w:val="none" w:sz="0" w:space="0" w:color="000000"/>
              <w:right w:val="none" w:sz="0" w:space="0" w:color="000000"/>
            </w:tcBorders>
            <w:shd w:val="clear" w:color="auto" w:fill="DEEAF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
            </w:r>
          </w:p>
        </w:tc>
      </w:tr>
      <w:tr>
        <w:trPr>
          <w:trHeight w:val="360" w:hRule="auto"/>
        </w:trPr>
        body31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Death</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66 (2.7%)</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43 (2.9%)</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23 (2.4%)</w:t>
            </w:r>
          </w:p>
        </w:tc>
      </w:tr>
      <w:tr>
        <w:trPr>
          <w:trHeight w:val="360" w:hRule="auto"/>
        </w:trPr>
        body32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Life-threatening</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118 (4.9%)</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96 (6.6%)</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22 (2.3%)</w:t>
            </w:r>
          </w:p>
        </w:tc>
      </w:tr>
      <w:tr>
        <w:trPr>
          <w:trHeight w:val="360" w:hRule="auto"/>
        </w:trPr>
        body33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Hospitalization</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944 (39%)</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558 (38%)</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386 (40%)</w:t>
            </w:r>
          </w:p>
        </w:tc>
      </w:tr>
      <w:tr>
        <w:trPr>
          <w:trHeight w:val="360" w:hRule="auto"/>
        </w:trPr>
        body34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Disability</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102 (4.2%)</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70 (4.8%)</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32 (3.3%)</w:t>
            </w:r>
          </w:p>
        </w:tc>
      </w:tr>
      <w:tr>
        <w:trPr>
          <w:trHeight w:val="360" w:hRule="auto"/>
        </w:trPr>
        body35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Required intervention</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65 (2.7%)</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51 (3.5%)</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14 (1.4%)</w:t>
            </w:r>
          </w:p>
        </w:tc>
      </w:tr>
      <w:tr>
        <w:trPr>
          <w:trHeight w:val="360" w:hRule="auto"/>
        </w:trPr>
        body36
        <w:tc>
          <w:tcPr>
            <w:tcBorders>
              <w:bottom w:val="single" w:sz="12"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Other serious outcome</w:t>
            </w:r>
          </w:p>
        </w:tc>
        <w:tc>
          <w:tcPr>
            <w:tcBorders>
              <w:bottom w:val="single" w:sz="12"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1,132 (47%)</w:t>
            </w:r>
          </w:p>
        </w:tc>
        <w:tc>
          <w:tcPr>
            <w:tcBorders>
              <w:bottom w:val="single" w:sz="12"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642 (44%)</w:t>
            </w:r>
          </w:p>
        </w:tc>
        <w:tc>
          <w:tcPr>
            <w:tcBorders>
              <w:bottom w:val="single" w:sz="12"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490 (51%)</w:t>
            </w:r>
          </w:p>
        </w:tc>
      </w:tr>
    </w:tbl>
    <w:p>
      <w:pPr>
        <w:pStyle w:val="Normal"/>
        <w:jc w:val="left"/>
        <w:pBdr>
          <w:bottom w:val="none" w:sz="0" w:space="0" w:color="000000"/>
          <w:top w:val="none" w:sz="0" w:space="0" w:color="000000"/>
          <w:left w:val="none" w:sz="0" w:space="0" w:color="000000"/>
          <w:right w:val="none" w:sz="0" w:space="0" w:color="000000"/>
        </w:pBdr>
        <w:spacing w:after="200" w:before="0" w:line="240"/>
        <w:ind w:left="0" w:right="0" w:firstLine="0" w:firstLineChars="0"/>
      </w:pPr>
      <w:r>
        <w:rPr>
          <w:rFonts w:ascii="Arial" w:hAnsi="Arial" w:eastAsia="Arial" w:cs="Arial"/>
          <w:i w:val="true"/>
          <w:b w:val="false"/>
          <w:u w:val="none"/>
          <w:strike w:val="false"/>
          <w:sz w:val="18"/>
          <w:szCs w:val="18"/>
          <w:color w:val="595959"/>
        </w:rPr>
        <w:t xml:space="preserve">Table 6. Characteristics by age group (the capstone's Table 1), n (%), column percentages.</w:t>
      </w:r>
    </w:p>
    <w:p>
      <w:pPr>
        <w:pStyle w:val="Titre2"/>
      </w:pPr>
      <w:r>
        <w:t xml:space="preserve">Disproportionality (ROR and PRR)</w:t>
      </w:r>
    </w:p>
    <w:tbl xmlns:a="http://schemas.openxmlformats.org/drawingml/2006/main" xmlns:pic="http://schemas.openxmlformats.org/drawingml/2006/picture">
      <w:tblPr>
        <w:tblLayout w:type="fixed"/>
        <w:jc w:val="center"/>
        <w:tblLook w:firstRow="1" w:lastRow="0" w:firstColumn="0" w:lastColumn="0" w:noHBand="0" w:noVBand="1"/>
      </w:tblPr>
      <w:tblGrid>
        <w:gridCol w:w="2160"/>
        <w:gridCol w:w="2592"/>
        <w:gridCol w:w="1152"/>
        <w:gridCol w:w="1872"/>
        <w:gridCol w:w="720"/>
        <w:gridCol w:w="864"/>
      </w:tblGrid>
      <w:tr>
        <w:trPr>
          <w:trHeight w:val="360" w:hRule="auto"/>
          <w:tblHeader/>
        </w:trPr>
        header1
        <w:tc>
          <w:tcPr>
            <w:tcBorders>
              <w:bottom w:val="single" w:sz="12" w:space="0" w:color="BFBFBF"/>
              <w:top w:val="single" w:sz="12" w:space="0" w:color="BFBFBF"/>
              <w:left w:val="none" w:sz="0" w:space="0" w:color="000000"/>
              <w:right w:val="none" w:sz="0" w:space="0" w:color="000000"/>
            </w:tcBorders>
            <w:shd w:val="clear" w:color="auto" w:fill="1F386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true"/>
                <w:u w:val="none"/>
                <w:strike w:val="false"/>
                <w:sz w:val="19"/>
                <w:szCs w:val="19"/>
                <w:color w:val="FFFFFF"/>
              </w:rPr>
            </w:pPr>
            <w:r>
              <w:rPr>
                <w:rFonts w:ascii="Arial" w:hAnsi="Helvetica" w:eastAsia="Helvetica" w:cs="Helvetica"/>
                <w:i w:val="false"/>
                <w:b w:val="true"/>
                <w:u w:val="none"/>
                <w:strike w:val="false"/>
                <w:sz w:val="19"/>
                <w:szCs w:val="19"/>
                <w:color w:val="FFFFFF"/>
              </w:rPr>
              <w:t xml:space="preserve">Comparison</w:t>
            </w:r>
          </w:p>
        </w:tc>
        <w:tc>
          <w:tcPr>
            <w:tcBorders>
              <w:bottom w:val="single" w:sz="12" w:space="0" w:color="BFBFBF"/>
              <w:top w:val="single" w:sz="12" w:space="0" w:color="BFBFBF"/>
              <w:left w:val="none" w:sz="0" w:space="0" w:color="000000"/>
              <w:right w:val="none" w:sz="0" w:space="0" w:color="000000"/>
            </w:tcBorders>
            <w:shd w:val="clear" w:color="auto" w:fill="1F386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true"/>
                <w:u w:val="none"/>
                <w:strike w:val="false"/>
                <w:sz w:val="19"/>
                <w:szCs w:val="19"/>
                <w:color w:val="FFFFFF"/>
              </w:rPr>
            </w:pPr>
            <w:r>
              <w:rPr>
                <w:rFonts w:ascii="Arial" w:hAnsi="Helvetica" w:eastAsia="Helvetica" w:cs="Helvetica"/>
                <w:i w:val="false"/>
                <w:b w:val="true"/>
                <w:u w:val="none"/>
                <w:strike w:val="false"/>
                <w:sz w:val="19"/>
                <w:szCs w:val="19"/>
                <w:color w:val="FFFFFF"/>
              </w:rPr>
              <w:t xml:space="preserve">Event</w:t>
            </w:r>
          </w:p>
        </w:tc>
        <w:tc>
          <w:tcPr>
            <w:tcBorders>
              <w:bottom w:val="single" w:sz="12" w:space="0" w:color="BFBFBF"/>
              <w:top w:val="single" w:sz="12" w:space="0" w:color="BFBFBF"/>
              <w:left w:val="none" w:sz="0" w:space="0" w:color="000000"/>
              <w:right w:val="none" w:sz="0" w:space="0" w:color="000000"/>
            </w:tcBorders>
            <w:shd w:val="clear" w:color="auto" w:fill="1F386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true"/>
                <w:u w:val="none"/>
                <w:strike w:val="false"/>
                <w:sz w:val="19"/>
                <w:szCs w:val="19"/>
                <w:color w:val="FFFFFF"/>
              </w:rPr>
            </w:pPr>
            <w:r>
              <w:rPr>
                <w:rFonts w:ascii="Arial" w:hAnsi="Helvetica" w:eastAsia="Helvetica" w:cs="Helvetica"/>
                <w:i w:val="false"/>
                <w:b w:val="true"/>
                <w:u w:val="none"/>
                <w:strike w:val="false"/>
                <w:sz w:val="19"/>
                <w:szCs w:val="19"/>
                <w:color w:val="FFFFFF"/>
              </w:rPr>
              <w:t xml:space="preserve">a / c</w:t>
            </w:r>
          </w:p>
        </w:tc>
        <w:tc>
          <w:tcPr>
            <w:tcBorders>
              <w:bottom w:val="single" w:sz="12" w:space="0" w:color="BFBFBF"/>
              <w:top w:val="single" w:sz="12" w:space="0" w:color="BFBFBF"/>
              <w:left w:val="none" w:sz="0" w:space="0" w:color="000000"/>
              <w:right w:val="none" w:sz="0" w:space="0" w:color="000000"/>
            </w:tcBorders>
            <w:shd w:val="clear" w:color="auto" w:fill="1F386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true"/>
                <w:u w:val="none"/>
                <w:strike w:val="false"/>
                <w:sz w:val="19"/>
                <w:szCs w:val="19"/>
                <w:color w:val="FFFFFF"/>
              </w:rPr>
            </w:pPr>
            <w:r>
              <w:rPr>
                <w:rFonts w:ascii="Arial" w:hAnsi="Helvetica" w:eastAsia="Helvetica" w:cs="Helvetica"/>
                <w:i w:val="false"/>
                <w:b w:val="true"/>
                <w:u w:val="none"/>
                <w:strike w:val="false"/>
                <w:sz w:val="19"/>
                <w:szCs w:val="19"/>
                <w:color w:val="FFFFFF"/>
              </w:rPr>
              <w:t xml:space="preserve">ROR (95% CI)</w:t>
            </w:r>
          </w:p>
        </w:tc>
        <w:tc>
          <w:tcPr>
            <w:tcBorders>
              <w:bottom w:val="single" w:sz="12" w:space="0" w:color="BFBFBF"/>
              <w:top w:val="single" w:sz="12" w:space="0" w:color="BFBFBF"/>
              <w:left w:val="none" w:sz="0" w:space="0" w:color="000000"/>
              <w:right w:val="none" w:sz="0" w:space="0" w:color="000000"/>
            </w:tcBorders>
            <w:shd w:val="clear" w:color="auto" w:fill="1F386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true"/>
                <w:u w:val="none"/>
                <w:strike w:val="false"/>
                <w:sz w:val="19"/>
                <w:szCs w:val="19"/>
                <w:color w:val="FFFFFF"/>
              </w:rPr>
            </w:pPr>
            <w:r>
              <w:rPr>
                <w:rFonts w:ascii="Arial" w:hAnsi="Helvetica" w:eastAsia="Helvetica" w:cs="Helvetica"/>
                <w:i w:val="false"/>
                <w:b w:val="true"/>
                <w:u w:val="none"/>
                <w:strike w:val="false"/>
                <w:sz w:val="19"/>
                <w:szCs w:val="19"/>
                <w:color w:val="FFFFFF"/>
              </w:rPr>
              <w:t xml:space="preserve">PRR</w:t>
            </w:r>
          </w:p>
        </w:tc>
        <w:tc>
          <w:tcPr>
            <w:tcBorders>
              <w:bottom w:val="single" w:sz="12" w:space="0" w:color="BFBFBF"/>
              <w:top w:val="single" w:sz="12" w:space="0" w:color="BFBFBF"/>
              <w:left w:val="none" w:sz="0" w:space="0" w:color="000000"/>
              <w:right w:val="none" w:sz="0" w:space="0" w:color="000000"/>
            </w:tcBorders>
            <w:shd w:val="clear" w:color="auto" w:fill="1F386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true"/>
                <w:u w:val="none"/>
                <w:strike w:val="false"/>
                <w:sz w:val="19"/>
                <w:szCs w:val="19"/>
                <w:color w:val="FFFFFF"/>
              </w:rPr>
            </w:pPr>
            <w:r>
              <w:rPr>
                <w:rFonts w:ascii="Arial" w:hAnsi="Helvetica" w:eastAsia="Helvetica" w:cs="Helvetica"/>
                <w:i w:val="false"/>
                <w:b w:val="true"/>
                <w:u w:val="none"/>
                <w:strike w:val="false"/>
                <w:sz w:val="19"/>
                <w:szCs w:val="19"/>
                <w:color w:val="FFFFFF"/>
              </w:rPr>
              <w:t xml:space="preserve">CI excludes 1</w:t>
            </w:r>
          </w:p>
        </w:tc>
      </w:tr>
      <w:tr>
        <w:trPr>
          <w:trHeight w:val="360" w:hRule="auto"/>
        </w:trPr>
        body1
        <w:tc>
          <w:tcPr>
            <w:tcBorders>
              <w:bottom w:val="single" w:sz="6" w:space="0" w:color="BFBFBF"/>
              <w:top w:val="single" w:sz="12"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Age (Older vs Younger)</w:t>
            </w:r>
          </w:p>
        </w:tc>
        <w:tc>
          <w:tcPr>
            <w:tcBorders>
              <w:bottom w:val="single" w:sz="6" w:space="0" w:color="BFBFBF"/>
              <w:top w:val="single" w:sz="12"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Gastro-Intestinal and Metabolic</w:t>
            </w:r>
          </w:p>
        </w:tc>
        <w:tc>
          <w:tcPr>
            <w:tcBorders>
              <w:bottom w:val="single" w:sz="6" w:space="0" w:color="BFBFBF"/>
              <w:top w:val="single" w:sz="12"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241 / 465</w:t>
            </w:r>
          </w:p>
        </w:tc>
        <w:tc>
          <w:tcPr>
            <w:tcBorders>
              <w:bottom w:val="single" w:sz="6" w:space="0" w:color="BFBFBF"/>
              <w:top w:val="single" w:sz="12"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0.71 (0.59–0.85)</w:t>
            </w:r>
          </w:p>
        </w:tc>
        <w:tc>
          <w:tcPr>
            <w:tcBorders>
              <w:bottom w:val="single" w:sz="6" w:space="0" w:color="BFBFBF"/>
              <w:top w:val="single" w:sz="12"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0.78</w:t>
            </w:r>
          </w:p>
        </w:tc>
        <w:tc>
          <w:tcPr>
            <w:tcBorders>
              <w:bottom w:val="single" w:sz="6" w:space="0" w:color="BFBFBF"/>
              <w:top w:val="single" w:sz="12"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Yes</w:t>
            </w:r>
          </w:p>
        </w:tc>
      </w:tr>
      <w:tr>
        <w:trPr>
          <w:trHeight w:val="360" w:hRule="auto"/>
        </w:trPr>
        body2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Age (Older vs Younger)</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Cardiovascular</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51 / 51</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1.54 (1.03–2.29)</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1.51</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Yes</w:t>
            </w:r>
          </w:p>
        </w:tc>
      </w:tr>
      <w:tr>
        <w:trPr>
          <w:trHeight w:val="360" w:hRule="auto"/>
        </w:trPr>
        body3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Age (Older vs Younger)</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Psychiatric-related</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26 / 94</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0.40 (0.26–0.62)</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0.42</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Yes</w:t>
            </w:r>
          </w:p>
        </w:tc>
      </w:tr>
      <w:tr>
        <w:trPr>
          <w:trHeight w:val="360" w:hRule="auto"/>
        </w:trPr>
        body4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Sex (Female vs Male)</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Gastro-Intestinal and Metabolic</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477 / 229</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0.93 (0.77–1.13)</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0.95</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No</w:t>
            </w:r>
          </w:p>
        </w:tc>
      </w:tr>
      <w:tr>
        <w:trPr>
          <w:trHeight w:val="360" w:hRule="auto"/>
        </w:trPr>
        body5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Sex (Female vs Male)</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Cardiovascular</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61 / 41</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0.67 (0.45–1.00)</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0.68</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No</w:t>
            </w:r>
          </w:p>
        </w:tc>
      </w:tr>
      <w:tr>
        <w:trPr>
          <w:trHeight w:val="360" w:hRule="auto"/>
        </w:trPr>
        body6
        <w:tc>
          <w:tcPr>
            <w:tcBorders>
              <w:bottom w:val="single" w:sz="12"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Sex (Female vs Male)</w:t>
            </w:r>
          </w:p>
        </w:tc>
        <w:tc>
          <w:tcPr>
            <w:tcBorders>
              <w:bottom w:val="single" w:sz="12"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Psychiatric-related</w:t>
            </w:r>
          </w:p>
        </w:tc>
        <w:tc>
          <w:tcPr>
            <w:tcBorders>
              <w:bottom w:val="single" w:sz="12"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84 / 36</w:t>
            </w:r>
          </w:p>
        </w:tc>
        <w:tc>
          <w:tcPr>
            <w:tcBorders>
              <w:bottom w:val="single" w:sz="12"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1.07 (0.72–1.60)</w:t>
            </w:r>
          </w:p>
        </w:tc>
        <w:tc>
          <w:tcPr>
            <w:tcBorders>
              <w:bottom w:val="single" w:sz="12"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1.07</w:t>
            </w:r>
          </w:p>
        </w:tc>
        <w:tc>
          <w:tcPr>
            <w:tcBorders>
              <w:bottom w:val="single" w:sz="12"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No</w:t>
            </w:r>
          </w:p>
        </w:tc>
      </w:tr>
    </w:tbl>
    <w:p>
      <w:pPr>
        <w:pStyle w:val="Normal"/>
        <w:jc w:val="left"/>
        <w:pBdr>
          <w:bottom w:val="none" w:sz="0" w:space="0" w:color="000000"/>
          <w:top w:val="none" w:sz="0" w:space="0" w:color="000000"/>
          <w:left w:val="none" w:sz="0" w:space="0" w:color="000000"/>
          <w:right w:val="none" w:sz="0" w:space="0" w:color="000000"/>
        </w:pBdr>
        <w:spacing w:after="200" w:before="0" w:line="240"/>
        <w:ind w:left="0" w:right="0" w:firstLine="0" w:firstLineChars="0"/>
      </w:pPr>
      <w:r>
        <w:rPr>
          <w:rFonts w:ascii="Arial" w:hAnsi="Arial" w:eastAsia="Arial" w:cs="Arial"/>
          <w:i w:val="true"/>
          <w:b w:val="false"/>
          <w:u w:val="none"/>
          <w:strike w:val="false"/>
          <w:sz w:val="18"/>
          <w:szCs w:val="18"/>
          <w:color w:val="595959"/>
        </w:rPr>
        <w:t xml:space="preserve">Table 7. Each event vs all other categories (including Others), within semaglutide reports. Wald 95% CI, no continuity correction.</w:t>
      </w:r>
    </w:p>
    <w:p>
      <w:pPr>
        <w:pStyle w:val="Normal"/>
      </w:pPr>
      <w:r>
        <w:rPr/>
        <w:drawing>
          <wp:inline distT="0" distB="0" distL="0" distR="0">
            <wp:extent cx="5760720" cy="3602736"/>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8"/>
                    <a:stretch>
                      <a:fillRect/>
                    </a:stretch>
                  </pic:blipFill>
                  <pic:spPr bwMode="auto">
                    <a:xfrm>
                      <a:off x="0" y="0"/>
                      <a:ext cx="80010" cy="50038"/>
                    </a:xfrm>
                    <a:prstGeom prst="rect">
                      <a:avLst/>
                    </a:prstGeom>
                    <a:noFill/>
                  </pic:spPr>
                </pic:pic>
              </a:graphicData>
            </a:graphic>
          </wp:inline>
        </w:drawing>
      </w:r>
    </w:p>
    <w:p>
      <w:pPr>
        <w:pStyle w:val="Normal"/>
        <w:jc w:val="left"/>
        <w:pBdr>
          <w:bottom w:val="none" w:sz="0" w:space="0" w:color="000000"/>
          <w:top w:val="none" w:sz="0" w:space="0" w:color="000000"/>
          <w:left w:val="none" w:sz="0" w:space="0" w:color="000000"/>
          <w:right w:val="none" w:sz="0" w:space="0" w:color="000000"/>
        </w:pBdr>
        <w:spacing w:after="200" w:before="0" w:line="240"/>
        <w:ind w:left="0" w:right="0" w:firstLine="0" w:firstLineChars="0"/>
      </w:pPr>
      <w:r>
        <w:rPr>
          <w:rFonts w:ascii="Arial" w:hAnsi="Arial" w:eastAsia="Arial" w:cs="Arial"/>
          <w:i w:val="true"/>
          <w:b w:val="false"/>
          <w:u w:val="none"/>
          <w:strike w:val="false"/>
          <w:sz w:val="18"/>
          <w:szCs w:val="18"/>
          <w:color w:val="595959"/>
        </w:rPr>
        <w:t xml:space="preserve">Figure 3. ROR by event category, age and sex comparisons. Figure 2 (age rows only) is in output/figures.</w:t>
      </w:r>
    </w:p>
    <w:p>
      <w:pPr>
        <w:pStyle w:val="Titre2"/>
      </w:pPr>
      <w:r>
        <w:t xml:space="preserve">Multinomial logistic regression</w:t>
      </w:r>
    </w:p>
    <w:tbl xmlns:a="http://schemas.openxmlformats.org/drawingml/2006/main" xmlns:pic="http://schemas.openxmlformats.org/drawingml/2006/picture">
      <w:tblPr>
        <w:tblLayout w:type="fixed"/>
        <w:jc w:val="center"/>
        <w:tblLook w:firstRow="1" w:lastRow="0" w:firstColumn="0" w:lastColumn="0" w:noHBand="0" w:noVBand="1"/>
      </w:tblPr>
      <w:tblGrid>
        <w:gridCol w:w="3744"/>
        <w:gridCol w:w="3168"/>
        <w:gridCol w:w="1440"/>
      </w:tblGrid>
      <w:tr>
        <w:trPr>
          <w:trHeight w:val="360" w:hRule="auto"/>
          <w:tblHeader/>
        </w:trPr>
        header1
        <w:tc>
          <w:tcPr>
            <w:tcBorders>
              <w:bottom w:val="single" w:sz="12" w:space="0" w:color="BFBFBF"/>
              <w:top w:val="single" w:sz="12" w:space="0" w:color="BFBFBF"/>
              <w:left w:val="none" w:sz="0" w:space="0" w:color="000000"/>
              <w:right w:val="none" w:sz="0" w:space="0" w:color="000000"/>
            </w:tcBorders>
            <w:shd w:val="clear" w:color="auto" w:fill="1F386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true"/>
                <w:u w:val="none"/>
                <w:strike w:val="false"/>
                <w:sz w:val="19"/>
                <w:szCs w:val="19"/>
                <w:color w:val="FFFFFF"/>
              </w:rPr>
            </w:pPr>
            <w:r>
              <w:rPr>
                <w:rFonts w:ascii="Arial" w:hAnsi="Helvetica" w:eastAsia="Helvetica" w:cs="Helvetica"/>
                <w:i w:val="false"/>
                <w:b w:val="true"/>
                <w:u w:val="none"/>
                <w:strike w:val="false"/>
                <w:sz w:val="19"/>
                <w:szCs w:val="19"/>
                <w:color w:val="FFFFFF"/>
              </w:rPr>
              <w:t xml:space="preserve">Event category</w:t>
            </w:r>
          </w:p>
        </w:tc>
        <w:tc>
          <w:tcPr>
            <w:tcBorders>
              <w:bottom w:val="single" w:sz="12" w:space="0" w:color="BFBFBF"/>
              <w:top w:val="single" w:sz="12" w:space="0" w:color="BFBFBF"/>
              <w:left w:val="none" w:sz="0" w:space="0" w:color="000000"/>
              <w:right w:val="none" w:sz="0" w:space="0" w:color="000000"/>
            </w:tcBorders>
            <w:shd w:val="clear" w:color="auto" w:fill="1F386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true"/>
                <w:u w:val="none"/>
                <w:strike w:val="false"/>
                <w:sz w:val="19"/>
                <w:szCs w:val="19"/>
                <w:color w:val="FFFFFF"/>
              </w:rPr>
            </w:pPr>
            <w:r>
              <w:rPr>
                <w:rFonts w:ascii="Arial" w:hAnsi="Helvetica" w:eastAsia="Helvetica" w:cs="Helvetica"/>
                <w:i w:val="false"/>
                <w:b w:val="true"/>
                <w:u w:val="none"/>
                <w:strike w:val="false"/>
                <w:sz w:val="19"/>
                <w:szCs w:val="19"/>
                <w:color w:val="FFFFFF"/>
              </w:rPr>
              <w:t xml:space="preserve">Adjusted OR (95% CI)</w:t>
            </w:r>
          </w:p>
        </w:tc>
        <w:tc>
          <w:tcPr>
            <w:tcBorders>
              <w:bottom w:val="single" w:sz="12" w:space="0" w:color="BFBFBF"/>
              <w:top w:val="single" w:sz="12" w:space="0" w:color="BFBFBF"/>
              <w:left w:val="none" w:sz="0" w:space="0" w:color="000000"/>
              <w:right w:val="none" w:sz="0" w:space="0" w:color="000000"/>
            </w:tcBorders>
            <w:shd w:val="clear" w:color="auto" w:fill="1F386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true"/>
                <w:u w:val="none"/>
                <w:strike w:val="false"/>
                <w:sz w:val="19"/>
                <w:szCs w:val="19"/>
                <w:color w:val="FFFFFF"/>
              </w:rPr>
            </w:pPr>
            <w:r>
              <w:rPr>
                <w:rFonts w:ascii="Arial" w:hAnsi="Helvetica" w:eastAsia="Helvetica" w:cs="Helvetica"/>
                <w:i w:val="false"/>
                <w:b w:val="true"/>
                <w:u w:val="none"/>
                <w:strike w:val="false"/>
                <w:sz w:val="19"/>
                <w:szCs w:val="19"/>
                <w:color w:val="FFFFFF"/>
              </w:rPr>
              <w:t xml:space="preserve">p</w:t>
            </w:r>
          </w:p>
        </w:tc>
      </w:tr>
      <w:tr>
        <w:trPr>
          <w:trHeight w:val="360" w:hRule="auto"/>
        </w:trPr>
        body1
        <w:tc>
          <w:tcPr>
            <w:tcBorders>
              <w:bottom w:val="single" w:sz="6" w:space="0" w:color="BFBFBF"/>
              <w:top w:val="single" w:sz="12"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Gastro-Intestinal and Metabolic</w:t>
            </w:r>
          </w:p>
        </w:tc>
        <w:tc>
          <w:tcPr>
            <w:tcBorders>
              <w:bottom w:val="single" w:sz="6" w:space="0" w:color="BFBFBF"/>
              <w:top w:val="single" w:sz="12"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0.71 (0.58–0.86)</w:t>
            </w:r>
          </w:p>
        </w:tc>
        <w:tc>
          <w:tcPr>
            <w:tcBorders>
              <w:bottom w:val="single" w:sz="6" w:space="0" w:color="BFBFBF"/>
              <w:top w:val="single" w:sz="12"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0.0005</w:t>
            </w:r>
          </w:p>
        </w:tc>
      </w:tr>
      <w:tr>
        <w:trPr>
          <w:trHeight w:val="360" w:hRule="auto"/>
        </w:trPr>
        body2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Cardiovascular</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1.15 (0.76–1.74)</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0.514</w:t>
            </w:r>
          </w:p>
        </w:tc>
      </w:tr>
      <w:tr>
        <w:trPr>
          <w:trHeight w:val="360" w:hRule="auto"/>
        </w:trPr>
        body3
        <w:tc>
          <w:tcPr>
            <w:tcBorders>
              <w:bottom w:val="single" w:sz="12"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Psychiatric-related</w:t>
            </w:r>
          </w:p>
        </w:tc>
        <w:tc>
          <w:tcPr>
            <w:tcBorders>
              <w:bottom w:val="single" w:sz="12"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0.47 (0.30–0.75)</w:t>
            </w:r>
          </w:p>
        </w:tc>
        <w:tc>
          <w:tcPr>
            <w:tcBorders>
              <w:bottom w:val="single" w:sz="12"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0.002</w:t>
            </w:r>
          </w:p>
        </w:tc>
      </w:tr>
    </w:tbl>
    <w:p>
      <w:pPr>
        <w:pStyle w:val="Normal"/>
        <w:jc w:val="left"/>
        <w:pBdr>
          <w:bottom w:val="none" w:sz="0" w:space="0" w:color="000000"/>
          <w:top w:val="none" w:sz="0" w:space="0" w:color="000000"/>
          <w:left w:val="none" w:sz="0" w:space="0" w:color="000000"/>
          <w:right w:val="none" w:sz="0" w:space="0" w:color="000000"/>
        </w:pBdr>
        <w:spacing w:after="200" w:before="0" w:line="240"/>
        <w:ind w:left="0" w:right="0" w:firstLine="0" w:firstLineChars="0"/>
      </w:pPr>
      <w:r>
        <w:rPr>
          <w:rFonts w:ascii="Arial" w:hAnsi="Arial" w:eastAsia="Arial" w:cs="Arial"/>
          <w:i w:val="true"/>
          <w:b w:val="false"/>
          <w:u w:val="none"/>
          <w:strike w:val="false"/>
          <w:sz w:val="18"/>
          <w:szCs w:val="18"/>
          <w:color w:val="595959"/>
        </w:rPr>
        <w:t xml:space="preserve">Table 8. Older (≥65) vs younger (18–64), adjusted for sex, quarter, dose and weight category. Reference outcome = Others.</w:t>
      </w:r>
    </w:p>
    <w:p>
      <w:pPr>
        <w:pStyle w:val="Normal"/>
        <w:jc w:val="left"/>
        <w:pBdr>
          <w:bottom w:val="none" w:sz="0" w:space="0" w:color="000000"/>
          <w:top w:val="none" w:sz="0" w:space="0" w:color="000000"/>
          <w:left w:val="none" w:sz="0" w:space="0" w:color="000000"/>
          <w:right w:val="none" w:sz="0" w:space="0" w:color="000000"/>
        </w:pBdr>
        <w:spacing w:after="120" w:before="0" w:line="264"/>
        <w:ind w:left="0" w:right="0" w:firstLine="0" w:firstLineChars="0"/>
      </w:pPr>
      <w:r>
        <w:rPr>
          <w:rFonts w:ascii="Arial" w:hAnsi="Arial" w:eastAsia="Arial" w:cs="Arial"/>
          <w:i w:val="false"/>
          <w:b w:val="true"/>
          <w:u w:val="none"/>
          <w:strike w:val="false"/>
          <w:sz w:val="22"/>
          <w:szCs w:val="22"/>
          <w:color w:val="000000"/>
        </w:rPr>
        <w:t xml:space="preserve">Fit and interaction. </w:t>
      </w:r>
      <w:r>
        <w:rPr>
          <w:rFonts w:ascii="Arial" w:hAnsi="Arial" w:eastAsia="Arial" w:cs="Arial"/>
          <w:i w:val="false"/>
          <w:b w:val="false"/>
          <w:u w:val="none"/>
          <w:strike w:val="false"/>
          <w:sz w:val="22"/>
          <w:szCs w:val="22"/>
          <w:color w:val="000000"/>
        </w:rPr>
        <w:t xml:space="preserve">The model converged in about 40 iterations. McFadden pseudo-R² = 0.032; G² = 143.8; log-likelihood -2206.3 vs -2278.2 for the null model. Adding age_group:sex did not improve fit (χ² = 0.78, df = 3, p = 0.85).</w:t>
      </w:r>
    </w:p>
    <w:p>
      <w:pPr>
        <w:pStyle w:val="Normal"/>
        <w:jc w:val="left"/>
        <w:pBdr>
          <w:bottom w:val="none" w:sz="0" w:space="0" w:color="000000"/>
          <w:top w:val="none" w:sz="0" w:space="0" w:color="000000"/>
          <w:left w:val="none" w:sz="0" w:space="0" w:color="000000"/>
          <w:right w:val="none" w:sz="0" w:space="0" w:color="000000"/>
        </w:pBdr>
        <w:spacing w:after="120" w:before="0" w:line="264"/>
        <w:ind w:left="0" w:right="0" w:firstLine="0" w:firstLineChars="0"/>
      </w:pPr>
      <w:r>
        <w:rPr>
          <w:rFonts w:ascii="Arial" w:hAnsi="Arial" w:eastAsia="Arial" w:cs="Arial"/>
          <w:i w:val="false"/>
          <w:b w:val="true"/>
          <w:u w:val="none"/>
          <w:strike w:val="false"/>
          <w:sz w:val="22"/>
          <w:szCs w:val="22"/>
          <w:color w:val="000000"/>
        </w:rPr>
        <w:t xml:space="preserve">Other terms. </w:t>
      </w:r>
      <w:r>
        <w:rPr>
          <w:rFonts w:ascii="Arial" w:hAnsi="Arial" w:eastAsia="Arial" w:cs="Arial"/>
          <w:i w:val="false"/>
          <w:b w:val="false"/>
          <w:u w:val="none"/>
          <w:strike w:val="false"/>
          <w:sz w:val="22"/>
          <w:szCs w:val="22"/>
          <w:color w:val="000000"/>
        </w:rPr>
        <w:t xml:space="preserve">Missing weight was strongly associated with fewer psychiatric terms (OR 0.27); weight 80–99 kg with more GI terms (OR 1.65); 2024Q2 with fewer GI terms (OR 0.69); 2024Q4 with fewer psychiatric terms (OR 0.58). Female vs male for cardiovascular terms was 0.66 (p = 0.055).</w:t>
      </w:r>
    </w:p>
    <w:p>
      <w:pPr>
        <w:pStyle w:val="Titre2"/>
      </w:pPr>
      <w:r>
        <w:t xml:space="preserve">Sensitivity analyses</w:t>
      </w:r>
    </w:p>
    <w:tbl xmlns:a="http://schemas.openxmlformats.org/drawingml/2006/main" xmlns:pic="http://schemas.openxmlformats.org/drawingml/2006/picture">
      <w:tblPr>
        <w:tblLayout w:type="fixed"/>
        <w:jc w:val="center"/>
        <w:tblLook w:firstRow="1" w:lastRow="0" w:firstColumn="0" w:lastColumn="0" w:noHBand="0" w:noVBand="1"/>
      </w:tblPr>
      <w:tblGrid>
        <w:gridCol w:w="2736"/>
        <w:gridCol w:w="864"/>
        <w:gridCol w:w="2016"/>
        <w:gridCol w:w="1872"/>
        <w:gridCol w:w="1872"/>
      </w:tblGrid>
      <w:tr>
        <w:trPr>
          <w:trHeight w:val="360" w:hRule="auto"/>
          <w:tblHeader/>
        </w:trPr>
        header1
        <w:tc>
          <w:tcPr>
            <w:tcBorders>
              <w:bottom w:val="single" w:sz="12" w:space="0" w:color="BFBFBF"/>
              <w:top w:val="single" w:sz="12" w:space="0" w:color="BFBFBF"/>
              <w:left w:val="none" w:sz="0" w:space="0" w:color="000000"/>
              <w:right w:val="none" w:sz="0" w:space="0" w:color="000000"/>
            </w:tcBorders>
            <w:shd w:val="clear" w:color="auto" w:fill="1F386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true"/>
                <w:u w:val="none"/>
                <w:strike w:val="false"/>
                <w:sz w:val="19"/>
                <w:szCs w:val="19"/>
                <w:color w:val="FFFFFF"/>
              </w:rPr>
            </w:pPr>
            <w:r>
              <w:rPr>
                <w:rFonts w:ascii="Arial" w:hAnsi="Helvetica" w:eastAsia="Helvetica" w:cs="Helvetica"/>
                <w:i w:val="false"/>
                <w:b w:val="true"/>
                <w:u w:val="none"/>
                <w:strike w:val="false"/>
                <w:sz w:val="19"/>
                <w:szCs w:val="19"/>
                <w:color w:val="FFFFFF"/>
              </w:rPr>
              <w:t xml:space="preserve">Model</w:t>
            </w:r>
          </w:p>
        </w:tc>
        <w:tc>
          <w:tcPr>
            <w:tcBorders>
              <w:bottom w:val="single" w:sz="12" w:space="0" w:color="BFBFBF"/>
              <w:top w:val="single" w:sz="12" w:space="0" w:color="BFBFBF"/>
              <w:left w:val="none" w:sz="0" w:space="0" w:color="000000"/>
              <w:right w:val="none" w:sz="0" w:space="0" w:color="000000"/>
            </w:tcBorders>
            <w:shd w:val="clear" w:color="auto" w:fill="1F386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true"/>
                <w:u w:val="none"/>
                <w:strike w:val="false"/>
                <w:sz w:val="19"/>
                <w:szCs w:val="19"/>
                <w:color w:val="FFFFFF"/>
              </w:rPr>
            </w:pPr>
            <w:r>
              <w:rPr>
                <w:rFonts w:ascii="Arial" w:hAnsi="Helvetica" w:eastAsia="Helvetica" w:cs="Helvetica"/>
                <w:i w:val="false"/>
                <w:b w:val="true"/>
                <w:u w:val="none"/>
                <w:strike w:val="false"/>
                <w:sz w:val="19"/>
                <w:szCs w:val="19"/>
                <w:color w:val="FFFFFF"/>
              </w:rPr>
              <w:t xml:space="preserve">n</w:t>
            </w:r>
          </w:p>
        </w:tc>
        <w:tc>
          <w:tcPr>
            <w:tcBorders>
              <w:bottom w:val="single" w:sz="12" w:space="0" w:color="BFBFBF"/>
              <w:top w:val="single" w:sz="12" w:space="0" w:color="BFBFBF"/>
              <w:left w:val="none" w:sz="0" w:space="0" w:color="000000"/>
              <w:right w:val="none" w:sz="0" w:space="0" w:color="000000"/>
            </w:tcBorders>
            <w:shd w:val="clear" w:color="auto" w:fill="1F386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true"/>
                <w:u w:val="none"/>
                <w:strike w:val="false"/>
                <w:sz w:val="19"/>
                <w:szCs w:val="19"/>
                <w:color w:val="FFFFFF"/>
              </w:rPr>
            </w:pPr>
            <w:r>
              <w:rPr>
                <w:rFonts w:ascii="Arial" w:hAnsi="Helvetica" w:eastAsia="Helvetica" w:cs="Helvetica"/>
                <w:i w:val="false"/>
                <w:b w:val="true"/>
                <w:u w:val="none"/>
                <w:strike w:val="false"/>
                <w:sz w:val="19"/>
                <w:szCs w:val="19"/>
                <w:color w:val="FFFFFF"/>
              </w:rPr>
              <w:t xml:space="preserve">Gastro-Intestinal and Metabolic</w:t>
            </w:r>
          </w:p>
        </w:tc>
        <w:tc>
          <w:tcPr>
            <w:tcBorders>
              <w:bottom w:val="single" w:sz="12" w:space="0" w:color="BFBFBF"/>
              <w:top w:val="single" w:sz="12" w:space="0" w:color="BFBFBF"/>
              <w:left w:val="none" w:sz="0" w:space="0" w:color="000000"/>
              <w:right w:val="none" w:sz="0" w:space="0" w:color="000000"/>
            </w:tcBorders>
            <w:shd w:val="clear" w:color="auto" w:fill="1F386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true"/>
                <w:u w:val="none"/>
                <w:strike w:val="false"/>
                <w:sz w:val="19"/>
                <w:szCs w:val="19"/>
                <w:color w:val="FFFFFF"/>
              </w:rPr>
            </w:pPr>
            <w:r>
              <w:rPr>
                <w:rFonts w:ascii="Arial" w:hAnsi="Helvetica" w:eastAsia="Helvetica" w:cs="Helvetica"/>
                <w:i w:val="false"/>
                <w:b w:val="true"/>
                <w:u w:val="none"/>
                <w:strike w:val="false"/>
                <w:sz w:val="19"/>
                <w:szCs w:val="19"/>
                <w:color w:val="FFFFFF"/>
              </w:rPr>
              <w:t xml:space="preserve">Cardiovascular</w:t>
            </w:r>
          </w:p>
        </w:tc>
        <w:tc>
          <w:tcPr>
            <w:tcBorders>
              <w:bottom w:val="single" w:sz="12" w:space="0" w:color="BFBFBF"/>
              <w:top w:val="single" w:sz="12" w:space="0" w:color="BFBFBF"/>
              <w:left w:val="none" w:sz="0" w:space="0" w:color="000000"/>
              <w:right w:val="none" w:sz="0" w:space="0" w:color="000000"/>
            </w:tcBorders>
            <w:shd w:val="clear" w:color="auto" w:fill="1F386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true"/>
                <w:u w:val="none"/>
                <w:strike w:val="false"/>
                <w:sz w:val="19"/>
                <w:szCs w:val="19"/>
                <w:color w:val="FFFFFF"/>
              </w:rPr>
            </w:pPr>
            <w:r>
              <w:rPr>
                <w:rFonts w:ascii="Arial" w:hAnsi="Helvetica" w:eastAsia="Helvetica" w:cs="Helvetica"/>
                <w:i w:val="false"/>
                <w:b w:val="true"/>
                <w:u w:val="none"/>
                <w:strike w:val="false"/>
                <w:sz w:val="19"/>
                <w:szCs w:val="19"/>
                <w:color w:val="FFFFFF"/>
              </w:rPr>
              <w:t xml:space="preserve">Psychiatric-related</w:t>
            </w:r>
          </w:p>
        </w:tc>
      </w:tr>
      <w:tr>
        <w:trPr>
          <w:trHeight w:val="360" w:hRule="auto"/>
        </w:trPr>
        body1
        <w:tc>
          <w:tcPr>
            <w:tcBorders>
              <w:bottom w:val="single" w:sz="6" w:space="0" w:color="BFBFBF"/>
              <w:top w:val="single" w:sz="12"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Main</w:t>
            </w:r>
          </w:p>
        </w:tc>
        <w:tc>
          <w:tcPr>
            <w:tcBorders>
              <w:bottom w:val="single" w:sz="6" w:space="0" w:color="BFBFBF"/>
              <w:top w:val="single" w:sz="12"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2,427</w:t>
            </w:r>
          </w:p>
        </w:tc>
        <w:tc>
          <w:tcPr>
            <w:tcBorders>
              <w:bottom w:val="single" w:sz="6" w:space="0" w:color="BFBFBF"/>
              <w:top w:val="single" w:sz="12"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0.71 (0.58–0.86)</w:t>
            </w:r>
          </w:p>
        </w:tc>
        <w:tc>
          <w:tcPr>
            <w:tcBorders>
              <w:bottom w:val="single" w:sz="6" w:space="0" w:color="BFBFBF"/>
              <w:top w:val="single" w:sz="12"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1.15 (0.76–1.74)</w:t>
            </w:r>
          </w:p>
        </w:tc>
        <w:tc>
          <w:tcPr>
            <w:tcBorders>
              <w:bottom w:val="single" w:sz="6" w:space="0" w:color="BFBFBF"/>
              <w:top w:val="single" w:sz="12"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0.47 (0.30–0.75)</w:t>
            </w:r>
          </w:p>
        </w:tc>
      </w:tr>
      <w:tr>
        <w:trPr>
          <w:trHeight w:val="360" w:hRule="auto"/>
        </w:trPr>
        body2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S1: exclude missing dose</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1,133</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0.66 (0.50–0.87)</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1.30 (0.74–2.30)</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0.66 (0.30–1.46)</w:t>
            </w:r>
          </w:p>
        </w:tc>
      </w:tr>
      <w:tr>
        <w:trPr>
          <w:trHeight w:val="360" w:hRule="auto"/>
        </w:trPr>
        body3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S2: exclude missing weight</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  890</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1.26 (0.90–1.78)</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0.83 (0.32–2.16)</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0.35 (0.17–0.74)</w:t>
            </w:r>
          </w:p>
        </w:tc>
      </w:tr>
      <w:tr>
        <w:trPr>
          <w:trHeight w:val="360" w:hRule="auto"/>
        </w:trPr>
        body4
        <w:tc>
          <w:tcPr>
            <w:tcBorders>
              <w:bottom w:val="single" w:sz="12"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S3: exclude both</w:t>
            </w:r>
          </w:p>
        </w:tc>
        <w:tc>
          <w:tcPr>
            <w:tcBorders>
              <w:bottom w:val="single" w:sz="12"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  314</w:t>
            </w:r>
          </w:p>
        </w:tc>
        <w:tc>
          <w:tcPr>
            <w:tcBorders>
              <w:bottom w:val="single" w:sz="12"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1.04 (0.60–1.81)</w:t>
            </w:r>
          </w:p>
        </w:tc>
        <w:tc>
          <w:tcPr>
            <w:tcBorders>
              <w:bottom w:val="single" w:sz="12"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0.94 (0.26–3.43)</w:t>
            </w:r>
          </w:p>
        </w:tc>
        <w:tc>
          <w:tcPr>
            <w:tcBorders>
              <w:bottom w:val="single" w:sz="12"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0.14 (0.02–1.15)</w:t>
            </w:r>
          </w:p>
        </w:tc>
      </w:tr>
    </w:tbl>
    <w:p>
      <w:pPr>
        <w:pStyle w:val="Normal"/>
        <w:jc w:val="left"/>
        <w:pBdr>
          <w:bottom w:val="none" w:sz="0" w:space="0" w:color="000000"/>
          <w:top w:val="none" w:sz="0" w:space="0" w:color="000000"/>
          <w:left w:val="none" w:sz="0" w:space="0" w:color="000000"/>
          <w:right w:val="none" w:sz="0" w:space="0" w:color="000000"/>
        </w:pBdr>
        <w:spacing w:after="200" w:before="0" w:line="240"/>
        <w:ind w:left="0" w:right="0" w:firstLine="0" w:firstLineChars="0"/>
      </w:pPr>
      <w:r>
        <w:rPr>
          <w:rFonts w:ascii="Arial" w:hAnsi="Arial" w:eastAsia="Arial" w:cs="Arial"/>
          <w:i w:val="true"/>
          <w:b w:val="false"/>
          <w:u w:val="none"/>
          <w:strike w:val="false"/>
          <w:sz w:val="18"/>
          <w:szCs w:val="18"/>
          <w:color w:val="595959"/>
        </w:rPr>
        <w:t xml:space="preserve">Table 9. Age-group ORs (older vs younger) across models. S4 (relabelled dose, same cut-points) left the age ORs unchanged.</w:t>
      </w:r>
    </w:p>
    <w:p>
      <w:pPr>
        <w:pStyle w:val="Normal"/>
        <w:jc w:val="left"/>
        <w:pBdr>
          <w:bottom w:val="none" w:sz="0" w:space="0" w:color="000000"/>
          <w:top w:val="none" w:sz="0" w:space="0" w:color="000000"/>
          <w:left w:val="none" w:sz="0" w:space="0" w:color="000000"/>
          <w:right w:val="none" w:sz="0" w:space="0" w:color="000000"/>
        </w:pBdr>
        <w:spacing w:after="120" w:before="0" w:line="264"/>
        <w:ind w:left="0" w:right="0" w:firstLine="0" w:firstLineChars="0"/>
      </w:pPr>
      <w:r>
        <w:rPr>
          <w:rFonts w:ascii="Arial" w:hAnsi="Arial" w:eastAsia="Arial" w:cs="Arial"/>
          <w:i w:val="false"/>
          <w:b w:val="false"/>
          <w:u w:val="none"/>
          <w:strike w:val="false"/>
          <w:sz w:val="22"/>
          <w:szCs w:val="22"/>
          <w:color w:val="000000"/>
        </w:rPr>
        <w:t xml:space="preserve">The GI finding holds when missing dose is excluded but not when missing weight is excluded. The psychiatric finding holds when missing weight is excluded but not when missing dose is excluded. With both excluded (n = 314) the intervals are too wide to interpret.</w:t>
      </w:r>
    </w:p>
    <w:p>
      <w:pPr>
        <w:pStyle w:val="Titre1"/>
      </w:pPr>
      <w:r>
        <w:t xml:space="preserve">Aim 3: comparison with label and trial evidence</w:t>
      </w:r>
    </w:p>
    <w:p>
      <w:pPr>
        <w:pStyle w:val="Normal"/>
        <w:jc w:val="left"/>
        <w:pBdr>
          <w:bottom w:val="none" w:sz="0" w:space="0" w:color="000000"/>
          <w:top w:val="none" w:sz="0" w:space="0" w:color="000000"/>
          <w:left w:val="none" w:sz="0" w:space="0" w:color="000000"/>
          <w:right w:val="none" w:sz="0" w:space="0" w:color="000000"/>
        </w:pBdr>
        <w:spacing w:after="120" w:before="0" w:line="264"/>
        <w:ind w:left="0" w:right="0" w:firstLine="0" w:firstLineChars="0"/>
      </w:pPr>
      <w:r>
        <w:rPr>
          <w:rFonts w:ascii="Arial" w:hAnsi="Arial" w:eastAsia="Arial" w:cs="Arial"/>
          <w:i w:val="false"/>
          <w:b w:val="false"/>
          <w:u w:val="none"/>
          <w:strike w:val="false"/>
          <w:sz w:val="22"/>
          <w:szCs w:val="22"/>
          <w:color w:val="000000"/>
        </w:rPr>
        <w:t xml:space="preserve">FAERS gives reporting ratios within semaglutide reports; trials give incidence against placebo, so only the direction and presence of a signal are compared. The literature review (current DailyMed labels, SUSTAIN-6, PIONEER 6, STEP 1–4, SELECT, age-subgroup analyses, FDA Sentinel) was carried out on 1 October 2026 during run 1; its FAERS inputs were recomputed in step 14 and are identical, so the classifications are unchanged.</w:t>
      </w:r>
    </w:p>
    <w:tbl xmlns:a="http://schemas.openxmlformats.org/drawingml/2006/main" xmlns:pic="http://schemas.openxmlformats.org/drawingml/2006/picture">
      <w:tblPr>
        <w:tblLayout w:type="fixed"/>
        <w:jc w:val="center"/>
        <w:tblLook w:firstRow="1" w:lastRow="0" w:firstColumn="0" w:lastColumn="0" w:noHBand="0" w:noVBand="1"/>
      </w:tblPr>
      <w:tblGrid>
        <w:gridCol w:w="2448"/>
        <w:gridCol w:w="2304"/>
        <w:gridCol w:w="3312"/>
        <w:gridCol w:w="1296"/>
      </w:tblGrid>
      <w:tr>
        <w:trPr>
          <w:trHeight w:val="360" w:hRule="auto"/>
          <w:tblHeader/>
        </w:trPr>
        header 1
        <w:tc>
          <w:tcPr>
            <w:tcBorders>
              <w:bottom w:val="single" w:sz="12" w:space="0" w:color="BFBFBF"/>
              <w:top w:val="single" w:sz="12" w:space="0" w:color="BFBFBF"/>
              <w:left w:val="none" w:sz="0" w:space="0" w:color="000000"/>
              <w:right w:val="none" w:sz="0" w:space="0" w:color="000000"/>
            </w:tcBorders>
            <w:shd w:val="clear" w:color="auto" w:fill="1F386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true"/>
                <w:u w:val="none"/>
                <w:strike w:val="false"/>
                <w:sz w:val="19"/>
                <w:szCs w:val="19"/>
                <w:color w:val="FFFFFF"/>
              </w:rPr>
            </w:pPr>
            <w:r>
              <w:rPr>
                <w:rFonts w:ascii="Arial" w:hAnsi="Helvetica" w:eastAsia="Helvetica" w:cs="Helvetica"/>
                <w:i w:val="false"/>
                <w:b w:val="true"/>
                <w:u w:val="none"/>
                <w:strike w:val="false"/>
                <w:sz w:val="19"/>
                <w:szCs w:val="19"/>
                <w:color w:val="FFFFFF"/>
              </w:rPr>
              <w:t xml:space="preserve">Row</w:t>
            </w:r>
          </w:p>
        </w:tc>
        <w:tc>
          <w:tcPr>
            <w:tcBorders>
              <w:bottom w:val="single" w:sz="12" w:space="0" w:color="BFBFBF"/>
              <w:top w:val="single" w:sz="12" w:space="0" w:color="BFBFBF"/>
              <w:left w:val="none" w:sz="0" w:space="0" w:color="000000"/>
              <w:right w:val="none" w:sz="0" w:space="0" w:color="000000"/>
            </w:tcBorders>
            <w:shd w:val="clear" w:color="auto" w:fill="1F386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true"/>
                <w:u w:val="none"/>
                <w:strike w:val="false"/>
                <w:sz w:val="19"/>
                <w:szCs w:val="19"/>
                <w:color w:val="FFFFFF"/>
              </w:rPr>
            </w:pPr>
            <w:r>
              <w:rPr>
                <w:rFonts w:ascii="Arial" w:hAnsi="Helvetica" w:eastAsia="Helvetica" w:cs="Helvetica"/>
                <w:i w:val="false"/>
                <w:b w:val="true"/>
                <w:u w:val="none"/>
                <w:strike w:val="false"/>
                <w:sz w:val="19"/>
                <w:szCs w:val="19"/>
                <w:color w:val="FFFFFF"/>
              </w:rPr>
              <w:t xml:space="preserve">FAERS age finding</w:t>
            </w:r>
          </w:p>
        </w:tc>
        <w:tc>
          <w:tcPr>
            <w:tcBorders>
              <w:bottom w:val="single" w:sz="12" w:space="0" w:color="BFBFBF"/>
              <w:top w:val="single" w:sz="12" w:space="0" w:color="BFBFBF"/>
              <w:left w:val="none" w:sz="0" w:space="0" w:color="000000"/>
              <w:right w:val="none" w:sz="0" w:space="0" w:color="000000"/>
            </w:tcBorders>
            <w:shd w:val="clear" w:color="auto" w:fill="1F386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true"/>
                <w:u w:val="none"/>
                <w:strike w:val="false"/>
                <w:sz w:val="19"/>
                <w:szCs w:val="19"/>
                <w:color w:val="FFFFFF"/>
              </w:rPr>
            </w:pPr>
            <w:r>
              <w:rPr>
                <w:rFonts w:ascii="Arial" w:hAnsi="Helvetica" w:eastAsia="Helvetica" w:cs="Helvetica"/>
                <w:i w:val="false"/>
                <w:b w:val="true"/>
                <w:u w:val="none"/>
                <w:strike w:val="false"/>
                <w:sz w:val="19"/>
                <w:szCs w:val="19"/>
                <w:color w:val="FFFFFF"/>
              </w:rPr>
              <w:t xml:space="preserve">Label / trial evidence</w:t>
            </w:r>
          </w:p>
        </w:tc>
        <w:tc>
          <w:tcPr>
            <w:tcBorders>
              <w:bottom w:val="single" w:sz="12" w:space="0" w:color="BFBFBF"/>
              <w:top w:val="single" w:sz="12" w:space="0" w:color="BFBFBF"/>
              <w:left w:val="none" w:sz="0" w:space="0" w:color="000000"/>
              <w:right w:val="none" w:sz="0" w:space="0" w:color="000000"/>
            </w:tcBorders>
            <w:shd w:val="clear" w:color="auto" w:fill="1F386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true"/>
                <w:u w:val="none"/>
                <w:strike w:val="false"/>
                <w:sz w:val="19"/>
                <w:szCs w:val="19"/>
                <w:color w:val="FFFFFF"/>
              </w:rPr>
            </w:pPr>
            <w:r>
              <w:rPr>
                <w:rFonts w:ascii="Arial" w:hAnsi="Helvetica" w:eastAsia="Helvetica" w:cs="Helvetica"/>
                <w:i w:val="false"/>
                <w:b w:val="true"/>
                <w:u w:val="none"/>
                <w:strike w:val="false"/>
                <w:sz w:val="19"/>
                <w:szCs w:val="19"/>
                <w:color w:val="FFFFFF"/>
              </w:rPr>
              <w:t xml:space="preserve">Class</w:t>
            </w:r>
          </w:p>
        </w:tc>
      </w:tr>
      <w:tr>
        <w:trPr>
          <w:trHeight w:val="360" w:hRule="auto"/>
        </w:trPr>
        body 1
        <w:tc>
          <w:tcPr>
            <w:tcBorders>
              <w:bottom w:val="single" w:sz="6" w:space="0" w:color="BFBFBF"/>
              <w:top w:val="single" w:sz="12"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GI and metabolic</w:t>
            </w:r>
          </w:p>
        </w:tc>
        <w:tc>
          <w:tcPr>
            <w:tcBorders>
              <w:bottom w:val="single" w:sz="6" w:space="0" w:color="BFBFBF"/>
              <w:top w:val="single" w:sz="12"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 older (ROR 0.71; OR 0.71)</w:t>
            </w:r>
          </w:p>
        </w:tc>
        <w:tc>
          <w:tcPr>
            <w:tcBorders>
              <w:bottom w:val="single" w:sz="6" w:space="0" w:color="BFBFBF"/>
              <w:top w:val="single" w:sz="12"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Labelled; ↑ vs placebo; trials show no age gradient</w:t>
            </w:r>
          </w:p>
        </w:tc>
        <w:tc>
          <w:tcPr>
            <w:tcBorders>
              <w:bottom w:val="single" w:sz="6" w:space="0" w:color="BFBFBF"/>
              <w:top w:val="single" w:sz="12"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Concordant</w:t>
            </w:r>
          </w:p>
        </w:tc>
      </w:tr>
      <w:tr>
        <w:trPr>
          <w:trHeight w:val="360" w:hRule="auto"/>
        </w:trPr>
        body 2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Cardiovascular</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 crude (ROR 1.54); null adjusted (OR 1.15)</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HR increase, hypotension, syncope labelled; MACE ↓ and consistent by age</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Concordant</w:t>
            </w:r>
          </w:p>
        </w:tc>
      </w:tr>
      <w:tr>
        <w:trPr>
          <w:trHeight w:val="360" w:hRule="auto"/>
        </w:trPr>
        body 3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Psychiatric-related</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 older (ROR 0.40; OR 0.47)</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Not in current labels (Wegovy warning removed 02/2026); FDA 91-trial meta-analysis and Sentinel: no increase</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Novel (by rule)</w:t>
            </w:r>
          </w:p>
        </w:tc>
      </w:tr>
      <w:tr>
        <w:trPr>
          <w:trHeight w:val="360" w:hRule="auto"/>
        </w:trPr>
        body 4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Others</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Reference</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Indeterminate</w:t>
            </w:r>
          </w:p>
        </w:tc>
      </w:tr>
      <w:tr>
        <w:trPr>
          <w:trHeight w:val="360" w:hRule="auto"/>
        </w:trPr>
        body 5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Pancreatitis</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0.78 (0.52–1.16)</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Labelled (5.2); rare in trials</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Concordant</w:t>
            </w:r>
          </w:p>
        </w:tc>
      </w:tr>
      <w:tr>
        <w:trPr>
          <w:trHeight w:val="360" w:hRule="auto"/>
        </w:trPr>
        body 6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Gallbladder</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0.41 (0.19–0.90)</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Labelled; ↑ vs placebo</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Concordant</w:t>
            </w:r>
          </w:p>
        </w:tc>
      </w:tr>
      <w:tr>
        <w:trPr>
          <w:trHeight w:val="360" w:hRule="auto"/>
        </w:trPr>
        body 7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Hypoglycaemia</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0.82 (0.30–2.23)</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Labelled; no age gradient in trials</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Concordant</w:t>
            </w:r>
          </w:p>
        </w:tc>
      </w:tr>
      <w:tr>
        <w:trPr>
          <w:trHeight w:val="360" w:hRule="auto"/>
        </w:trPr>
        body 8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Ileus / obstruction / gastric emptying</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0.40 (0.26–0.63)</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Labelled (postmarketing)</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Concordant</w:t>
            </w:r>
          </w:p>
        </w:tc>
      </w:tr>
      <w:tr>
        <w:trPr>
          <w:trHeight w:val="360" w:hRule="auto"/>
        </w:trPr>
        body 9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Nausea / vomiting / diarrhoea / constipation</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0.84 (0.64–1.10)</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Labelled; ≥65 similar to overall</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Concordant</w:t>
            </w:r>
          </w:p>
        </w:tc>
      </w:tr>
      <w:tr>
        <w:trPr>
          <w:trHeight w:val="360" w:hRule="auto"/>
        </w:trPr>
        body10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Suicidal ideation / behaviour</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0.13 (0.04–0.44)</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As psychiatric row</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Novel (by rule)</w:t>
            </w:r>
          </w:p>
        </w:tc>
      </w:tr>
      <w:tr>
        <w:trPr>
          <w:trHeight w:val="360" w:hRule="auto"/>
        </w:trPr>
        body11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Heart rate increased / tachycardia</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0.91 (0.22–3.80)</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Labelled</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Concordant</w:t>
            </w:r>
          </w:p>
        </w:tc>
      </w:tr>
      <w:tr>
        <w:trPr>
          <w:trHeight w:val="360" w:hRule="auto"/>
        </w:trPr>
        body12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Dehydration</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1.11 (0.56–2.23)</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AKI via volume depletion labelled</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Concordant</w:t>
            </w:r>
          </w:p>
        </w:tc>
      </w:tr>
      <w:tr>
        <w:trPr>
          <w:trHeight w:val="360" w:hRule="auto"/>
        </w:trPr>
        body13
        <w:tc>
          <w:tcPr>
            <w:tcBorders>
              <w:bottom w:val="single" w:sz="12"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Diabetic ketoacidosis</w:t>
            </w:r>
          </w:p>
        </w:tc>
        <w:tc>
          <w:tcPr>
            <w:tcBorders>
              <w:bottom w:val="single" w:sz="12"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0.75 (0.19–3.02)</w:t>
            </w:r>
          </w:p>
        </w:tc>
        <w:tc>
          <w:tcPr>
            <w:tcBorders>
              <w:bottom w:val="single" w:sz="12"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Not labelled</w:t>
            </w:r>
          </w:p>
        </w:tc>
        <w:tc>
          <w:tcPr>
            <w:tcBorders>
              <w:bottom w:val="single" w:sz="12"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Indeterminate</w:t>
            </w:r>
          </w:p>
        </w:tc>
      </w:tr>
    </w:tbl>
    <w:p>
      <w:pPr>
        <w:pStyle w:val="Normal"/>
        <w:jc w:val="left"/>
        <w:pBdr>
          <w:bottom w:val="none" w:sz="0" w:space="0" w:color="000000"/>
          <w:top w:val="none" w:sz="0" w:space="0" w:color="000000"/>
          <w:left w:val="none" w:sz="0" w:space="0" w:color="000000"/>
          <w:right w:val="none" w:sz="0" w:space="0" w:color="000000"/>
        </w:pBdr>
        <w:spacing w:after="200" w:before="0" w:line="240"/>
        <w:ind w:left="0" w:right="0" w:firstLine="0" w:firstLineChars="0"/>
      </w:pPr>
      <w:r>
        <w:rPr>
          <w:rFonts w:ascii="Arial" w:hAnsi="Arial" w:eastAsia="Arial" w:cs="Arial"/>
          <w:i w:val="true"/>
          <w:b w:val="false"/>
          <w:u w:val="none"/>
          <w:strike w:val="false"/>
          <w:sz w:val="18"/>
          <w:szCs w:val="18"/>
          <w:color w:val="595959"/>
        </w:rPr>
        <w:t xml:space="preserve">Table 10. Evidence classification. PT-level rows show age ROR (95% CI). Full table and sources: aim3/AIM3_evidence_comparison.md.</w:t>
      </w:r>
    </w:p>
    <w:p>
      <w:pPr>
        <w:pStyle w:val="Normal"/>
        <w:jc w:val="left"/>
        <w:pBdr>
          <w:bottom w:val="none" w:sz="0" w:space="0" w:color="000000"/>
          <w:top w:val="none" w:sz="0" w:space="0" w:color="000000"/>
          <w:left w:val="none" w:sz="0" w:space="0" w:color="000000"/>
          <w:right w:val="none" w:sz="0" w:space="0" w:color="000000"/>
        </w:pBdr>
        <w:spacing w:after="120" w:before="0" w:line="264"/>
        <w:ind w:left="0" w:right="0" w:firstLine="0" w:firstLineChars="0"/>
      </w:pPr>
      <w:r>
        <w:rPr>
          <w:rFonts w:ascii="Arial" w:hAnsi="Arial" w:eastAsia="Arial" w:cs="Arial"/>
          <w:i w:val="false"/>
          <w:b w:val="true"/>
          <w:u w:val="none"/>
          <w:strike w:val="false"/>
          <w:sz w:val="22"/>
          <w:szCs w:val="22"/>
          <w:color w:val="000000"/>
        </w:rPr>
        <w:t xml:space="preserve">Follow-up. </w:t>
      </w:r>
      <w:r>
        <w:rPr>
          <w:rFonts w:ascii="Arial" w:hAnsi="Arial" w:eastAsia="Arial" w:cs="Arial"/>
          <w:i w:val="false"/>
          <w:b w:val="false"/>
          <w:u w:val="none"/>
          <w:strike w:val="false"/>
          <w:sz w:val="22"/>
          <w:szCs w:val="22"/>
          <w:color w:val="000000"/>
        </w:rPr>
        <w:t xml:space="preserve">No row is divergent. The psychiatric rows are “novel” only under the spec’s rule: the finding is less reporting in older adults, not an excess risk. Indication is a likely confounder (Wegovy is 27% of younger reports vs 5.5% of older), so stratifying by product is the suggested follow-up.</w:t>
      </w:r>
    </w:p>
    <w:p>
      <w:pPr>
        <w:pStyle w:val="Titre1"/>
      </w:pPr>
      <w:r>
        <w:t xml:space="preserve">Agreement with Blind Replication 1</w:t>
      </w:r>
    </w:p>
    <w:p>
      <w:pPr>
        <w:pStyle w:val="Normal"/>
        <w:jc w:val="left"/>
        <w:pBdr>
          <w:bottom w:val="none" w:sz="0" w:space="0" w:color="000000"/>
          <w:top w:val="none" w:sz="0" w:space="0" w:color="000000"/>
          <w:left w:val="none" w:sz="0" w:space="0" w:color="000000"/>
          <w:right w:val="none" w:sz="0" w:space="0" w:color="000000"/>
        </w:pBdr>
        <w:spacing w:after="120" w:before="0" w:line="264"/>
        <w:ind w:left="0" w:right="0" w:firstLine="0" w:firstLineChars="0"/>
      </w:pPr>
      <w:r>
        <w:rPr>
          <w:rFonts w:ascii="Arial" w:hAnsi="Arial" w:eastAsia="Arial" w:cs="Arial"/>
          <w:i w:val="false"/>
          <w:b w:val="false"/>
          <w:u w:val="none"/>
          <w:strike w:val="false"/>
          <w:sz w:val="22"/>
          <w:szCs w:val="22"/>
          <w:color w:val="000000"/>
        </w:rPr>
        <w:t xml:space="preserve">Every checkpoint count, the analytic dataset (byte-identical), ROR/PRR, multinomial ORs, model fit, interaction test, sensitivity models and key-PT RORs are identical between the two runs. Only some label text in two output tables differs (for example “Age (Older vs Younger)”).</w:t>
      </w:r>
    </w:p>
    <w:p>
      <w:pPr>
        <w:pStyle w:val="Titre1"/>
      </w:pPr>
      <w:r>
        <w:t xml:space="preserve">Judgement calls</w:t>
      </w:r>
    </w:p>
    <w:tbl xmlns:a="http://schemas.openxmlformats.org/drawingml/2006/main" xmlns:pic="http://schemas.openxmlformats.org/drawingml/2006/picture">
      <w:tblPr>
        <w:tblLayout w:type="fixed"/>
        <w:jc w:val="center"/>
        <w:tblLook w:firstRow="1" w:lastRow="0" w:firstColumn="0" w:lastColumn="0" w:noHBand="0" w:noVBand="1"/>
      </w:tblPr>
      <w:tblGrid>
        <w:gridCol w:w="2880"/>
        <w:gridCol w:w="6480"/>
      </w:tblGrid>
      <w:tr>
        <w:trPr>
          <w:trHeight w:val="360" w:hRule="auto"/>
          <w:tblHeader/>
        </w:trPr>
        header1
        <w:tc>
          <w:tcPr>
            <w:tcBorders>
              <w:bottom w:val="single" w:sz="12" w:space="0" w:color="BFBFBF"/>
              <w:top w:val="single" w:sz="12" w:space="0" w:color="BFBFBF"/>
              <w:left w:val="none" w:sz="0" w:space="0" w:color="000000"/>
              <w:right w:val="none" w:sz="0" w:space="0" w:color="000000"/>
            </w:tcBorders>
            <w:shd w:val="clear" w:color="auto" w:fill="1F386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true"/>
                <w:u w:val="none"/>
                <w:strike w:val="false"/>
                <w:sz w:val="19"/>
                <w:szCs w:val="19"/>
                <w:color w:val="FFFFFF"/>
              </w:rPr>
            </w:pPr>
            <w:r>
              <w:rPr>
                <w:rFonts w:ascii="Arial" w:hAnsi="Helvetica" w:eastAsia="Helvetica" w:cs="Helvetica"/>
                <w:i w:val="false"/>
                <w:b w:val="true"/>
                <w:u w:val="none"/>
                <w:strike w:val="false"/>
                <w:sz w:val="19"/>
                <w:szCs w:val="19"/>
                <w:color w:val="FFFFFF"/>
              </w:rPr>
              <w:t xml:space="preserve">Issue</w:t>
            </w:r>
          </w:p>
        </w:tc>
        <w:tc>
          <w:tcPr>
            <w:tcBorders>
              <w:bottom w:val="single" w:sz="12" w:space="0" w:color="BFBFBF"/>
              <w:top w:val="single" w:sz="12" w:space="0" w:color="BFBFBF"/>
              <w:left w:val="none" w:sz="0" w:space="0" w:color="000000"/>
              <w:right w:val="none" w:sz="0" w:space="0" w:color="000000"/>
            </w:tcBorders>
            <w:shd w:val="clear" w:color="auto" w:fill="1F386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true"/>
                <w:u w:val="none"/>
                <w:strike w:val="false"/>
                <w:sz w:val="19"/>
                <w:szCs w:val="19"/>
                <w:color w:val="FFFFFF"/>
              </w:rPr>
            </w:pPr>
            <w:r>
              <w:rPr>
                <w:rFonts w:ascii="Arial" w:hAnsi="Helvetica" w:eastAsia="Helvetica" w:cs="Helvetica"/>
                <w:i w:val="false"/>
                <w:b w:val="true"/>
                <w:u w:val="none"/>
                <w:strike w:val="false"/>
                <w:sz w:val="19"/>
                <w:szCs w:val="19"/>
                <w:color w:val="FFFFFF"/>
              </w:rPr>
              <w:t xml:space="preserve">What was done</w:t>
            </w:r>
          </w:p>
        </w:tc>
      </w:tr>
      <w:tr>
        <w:trPr>
          <w:trHeight w:val="360" w:hRule="auto"/>
        </w:trPr>
        body1
        <w:tc>
          <w:tcPr>
            <w:tcBorders>
              <w:bottom w:val="single" w:sz="6" w:space="0" w:color="BFBFBF"/>
              <w:top w:val="single" w:sz="12"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Empty strings after CSV round-trip</w:t>
            </w:r>
          </w:p>
        </w:tc>
        <w:tc>
          <w:tcPr>
            <w:tcBorders>
              <w:bottom w:val="single" w:sz="6" w:space="0" w:color="BFBFBF"/>
              <w:top w:val="single" w:sz="12"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Missing outc_cod ("" or NA) treated as no OUTC record → NR, per the spec. Empty sex → NA via factor levels.</w:t>
            </w:r>
          </w:p>
        </w:tc>
      </w:tr>
      <w:tr>
        <w:trPr>
          <w:trHeight w:val="360" w:hRule="auto"/>
        </w:trPr>
        body2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Order of placeholder clean-up</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Applied after the age filter and before the PS filter; either order gives the same rows.</w:t>
            </w:r>
          </w:p>
        </w:tc>
      </w:tr>
      <w:tr>
        <w:trPr>
          <w:trHeight w:val="360" w:hRule="auto"/>
        </w:trPr>
        body3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Sensitivity model fitting</w:t>
            </w:r>
          </w:p>
        </w:tc>
        <w:tc>
          <w:tcPr>
            <w:tcBorders>
              <w:bottom w:val="single" w:sz="6"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do.call() used so broom::tidy(conf.int = TRUE) can re-evaluate the model call; estimates unchanged.</w:t>
            </w:r>
          </w:p>
        </w:tc>
      </w:tr>
      <w:tr>
        <w:trPr>
          <w:trHeight w:val="360" w:hRule="auto"/>
        </w:trPr>
        body4
        <w:tc>
          <w:tcPr>
            <w:tcBorders>
              <w:bottom w:val="single" w:sz="12"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Deprecated plot function</w:t>
            </w:r>
          </w:p>
        </w:tc>
        <w:tc>
          <w:tcPr>
            <w:tcBorders>
              <w:bottom w:val="single" w:sz="12" w:space="0" w:color="BFBFBF"/>
              <w:top w:val="single" w:sz="6"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9"/>
                <w:szCs w:val="19"/>
                <w:color w:val="000000"/>
              </w:rPr>
            </w:pPr>
            <w:r>
              <w:rPr>
                <w:rFonts w:ascii="Arial" w:hAnsi="Helvetica" w:eastAsia="Helvetica" w:cs="Helvetica"/>
                <w:i w:val="false"/>
                <w:b w:val="false"/>
                <w:u w:val="none"/>
                <w:strike w:val="false"/>
                <w:sz w:val="19"/>
                <w:szCs w:val="19"/>
                <w:color w:val="000000"/>
              </w:rPr>
              <w:t xml:space="preserve">geom_errorbar(orientation = "y") in place of geom_errorbarh() (ggplot2 4.0.0); plots unchanged.</w:t>
            </w:r>
          </w:p>
        </w:tc>
      </w:tr>
    </w:tbl>
    <w:p>
      <w:pPr>
        <w:pStyle w:val="Normal"/>
        <w:jc w:val="left"/>
        <w:pBdr>
          <w:bottom w:val="none" w:sz="0" w:space="0" w:color="000000"/>
          <w:top w:val="none" w:sz="0" w:space="0" w:color="000000"/>
          <w:left w:val="none" w:sz="0" w:space="0" w:color="000000"/>
          <w:right w:val="none" w:sz="0" w:space="0" w:color="000000"/>
        </w:pBdr>
        <w:spacing w:after="200" w:before="0" w:line="240"/>
        <w:ind w:left="0" w:right="0" w:firstLine="0" w:firstLineChars="0"/>
      </w:pPr>
      <w:r>
        <w:rPr>
          <w:rFonts w:ascii="Arial" w:hAnsi="Arial" w:eastAsia="Arial" w:cs="Arial"/>
          <w:i w:val="true"/>
          <w:b w:val="false"/>
          <w:u w:val="none"/>
          <w:strike w:val="false"/>
          <w:sz w:val="18"/>
          <w:szCs w:val="18"/>
          <w:color w:val="595959"/>
        </w:rPr>
        <w:t xml:space="preserve">Table 11. Decisions where the spec left room.</w:t>
      </w:r>
    </w:p>
    <w:p>
      <w:pPr>
        <w:pStyle w:val="Titre1"/>
      </w:pPr>
      <w:r>
        <w:t xml:space="preserve">Open items</w:t>
      </w:r>
    </w:p>
    <w:p>
      <w:pPr>
        <w:pStyle w:val="Normal"/>
        <w:jc w:val="left"/>
        <w:pBdr>
          <w:bottom w:val="none" w:sz="0" w:space="0" w:color="000000"/>
          <w:top w:val="none" w:sz="0" w:space="0" w:color="000000"/>
          <w:left w:val="none" w:sz="0" w:space="0" w:color="000000"/>
          <w:right w:val="none" w:sz="0" w:space="0" w:color="000000"/>
        </w:pBdr>
        <w:spacing w:after="120" w:before="0" w:line="264"/>
        <w:ind w:left="0" w:right="0" w:firstLine="0" w:firstLineChars="0"/>
      </w:pPr>
      <w:r>
        <w:rPr>
          <w:rFonts w:ascii="Arial" w:hAnsi="Arial" w:eastAsia="Arial" w:cs="Arial"/>
          <w:i w:val="false"/>
          <w:b w:val="true"/>
          <w:u w:val="none"/>
          <w:strike w:val="false"/>
          <w:sz w:val="22"/>
          <w:szCs w:val="22"/>
          <w:color w:val="000000"/>
        </w:rPr>
        <w:t xml:space="preserve">Figure 1 comparison. </w:t>
      </w:r>
      <w:r>
        <w:rPr>
          <w:rFonts w:ascii="Arial" w:hAnsi="Arial" w:eastAsia="Arial" w:cs="Arial"/>
          <w:i w:val="false"/>
          <w:b w:val="false"/>
          <w:u w:val="none"/>
          <w:strike w:val="false"/>
          <w:sz w:val="22"/>
          <w:szCs w:val="22"/>
          <w:color w:val="000000"/>
        </w:rPr>
        <w:t xml:space="preserve">Compare Table 4 with the withheld Figure 1 counts, starting with box 5 (see the Checkpoint 5 note under Cohort checkpoints).</w:t>
      </w:r>
    </w:p>
    <w:p>
      <w:pPr>
        <w:pStyle w:val="Normal"/>
        <w:jc w:val="left"/>
        <w:pBdr>
          <w:bottom w:val="none" w:sz="0" w:space="0" w:color="000000"/>
          <w:top w:val="none" w:sz="0" w:space="0" w:color="000000"/>
          <w:left w:val="none" w:sz="0" w:space="0" w:color="000000"/>
          <w:right w:val="none" w:sz="0" w:space="0" w:color="000000"/>
        </w:pBdr>
        <w:spacing w:after="120" w:before="0" w:line="264"/>
        <w:ind w:left="0" w:right="0" w:firstLine="0" w:firstLineChars="0"/>
      </w:pPr>
      <w:r>
        <w:rPr>
          <w:rFonts w:ascii="Arial" w:hAnsi="Arial" w:eastAsia="Arial" w:cs="Arial"/>
          <w:i w:val="false"/>
          <w:b w:val="true"/>
          <w:u w:val="none"/>
          <w:strike w:val="false"/>
          <w:sz w:val="22"/>
          <w:szCs w:val="22"/>
          <w:color w:val="000000"/>
        </w:rPr>
        <w:t xml:space="preserve">Suggested analysis. </w:t>
      </w:r>
      <w:r>
        <w:rPr>
          <w:rFonts w:ascii="Arial" w:hAnsi="Arial" w:eastAsia="Arial" w:cs="Arial"/>
          <w:i w:val="false"/>
          <w:b w:val="false"/>
          <w:u w:val="none"/>
          <w:strike w:val="false"/>
          <w:sz w:val="22"/>
          <w:szCs w:val="22"/>
          <w:color w:val="000000"/>
        </w:rPr>
        <w:t xml:space="preserve">Repeat the age comparison within product (Wegovy vs Ozempic/Rybelsus) to separate age from indication.</w:t>
      </w:r>
    </w:p>
    <w:sectPr>
      <w:footerReference w:officer="true" r:id="rId7" w:type="default">
</w:footerReference>
      <w:pgMar w:header="720" w:bottom="1440" w:top="1440" w:right="1440" w:left="1440" w:footer="720" w:gutter="0"/>
      <w:pgSz w:h="15840" w:w="12240"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6"/>
        <w:szCs w:val="16"/>
        <w:color w:val="7F7F7F"/>
      </w:rPr>
      <w:t xml:space="preserve">FAERS Semaglutide Blind Replication 2 · page </w:t>
    </w:r>
    <w:r>
      <w:rPr>
        <w:rFonts w:ascii="Arial" w:hAnsi="Arial" w:eastAsia="Arial" w:cs="Arial"/>
        <w:i w:val="false"/>
        <w:b w:val="false"/>
        <w:u w:val="none"/>
        <w:strike w:val="false"/>
        <w:sz w:val="16"/>
        <w:szCs w:val="16"/>
        <w:color w:val="7F7F7F"/>
      </w:rPr>
      <w:fldChar w:fldCharType="begin" w:dirty="true"/>
    </w:r>
    <w:r>
      <w:rPr>
        <w:rFonts w:ascii="Arial" w:hAnsi="Arial" w:eastAsia="Arial" w:cs="Arial"/>
        <w:i w:val="false"/>
        <w:b w:val="false"/>
        <w:u w:val="none"/>
        <w:strike w:val="false"/>
        <w:sz w:val="16"/>
        <w:szCs w:val="16"/>
        <w:color w:val="7F7F7F"/>
      </w:rPr>
      <w:instrText xml:space="preserve" w:dirty="true">PAGE</w:instrText>
    </w:r>
    <w:r>
      <w:rPr>
        <w:rFonts w:ascii="Arial" w:hAnsi="Arial" w:eastAsia="Arial" w:cs="Arial"/>
        <w:i w:val="false"/>
        <w:b w:val="false"/>
        <w:u w:val="none"/>
        <w:strike w:val="false"/>
        <w:sz w:val="16"/>
        <w:szCs w:val="16"/>
        <w:color w:val="7F7F7F"/>
      </w:rPr>
      <w:fldChar w:fldCharType="end" w:dirty="true"/>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footer" Target="footer1.xml"/>
<Relationship Id="rId8" Type="http://schemas.openxmlformats.org/officeDocument/2006/relationships/image" Target="media/e6f9c75b34003782590a8d1089e2abe3afdd35c3.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mknyarko</cp:lastModifiedBy>
  <cp:revision>9</cp:revision>
  <dcterms:created xsi:type="dcterms:W3CDTF">2017-02-28T11:18:00Z</dcterms:created>
  <dcterms:modified xsi:type="dcterms:W3CDTF">2026-10-01T14:47:54Z</dcterms:modified>
  <cp:category/>
</cp:coreProperties>
</file>