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Demographic and Clinical Characteristics of U.S. Adults Reporting Semaglutide-Associated Adverse Events, FAERS 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41"/>
        <w:gridCol w:w="1609"/>
        <w:gridCol w:w="2990"/>
        <w:gridCol w:w="2426"/>
      </w:tblGrid>
      <w:tr>
        <w:trPr>
          <w:trHeight w:val="65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2,427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Younger Adults (18–64)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1,460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Older Adults (≥65)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967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 (37%)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1,665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 (63%)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(35)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Dose 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(3.50)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(4.49)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(1.48)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Reported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COMBINATION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OZEMPIC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 (83%)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RYBELSUS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(5.5%)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SEMAGLUTIDE (UNSPECIFIED)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(5.3%)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WEGOVY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(5.5%)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Quarter of 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(22%)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(21%)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 (25%)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(32%)</w:t>
            </w:r>
          </w:p>
        </w:tc>
      </w:tr>
      <w:tr>
        <w:trPr>
          <w:trHeight w:val="6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Adverse Event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Gastro-Intestinal and Metabolic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(25%)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(5.3%)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Psychiatric-related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(2.7%)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 (67%)</w:t>
            </w:r>
          </w:p>
        </w:tc>
      </w:tr>
      <w:tr>
        <w:trPr>
          <w:trHeight w:val="62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(2.4%)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(3.3%)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 (40%)</w:t>
            </w:r>
          </w:p>
        </w:tc>
      </w:tr>
      <w:tr>
        <w:trPr>
          <w:trHeight w:val="61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Life-threatening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(2.3%)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 serious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 (51%)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Required intervention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(1.4%)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(SD)</w:t>
            </w:r>
          </w:p>
        </w:tc>
      </w:tr>
    </w:tbl>
    <w:p>
      <w:pPr>
        <w:pStyle w:val="Normal"/>
      </w:pPr>
      <w:r>
        <w:t xml:space="preserve">Values are presented as n (%) unless otherwise indicated. Percentages are column percentages.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2026-03-19T17:19:10Z</dcterms:modified>
  <cp:category/>
</cp:coreProperties>
</file>