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Disproportionality Analysis of Adverse Event Categories by Age and Sex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1"/>
        <w:gridCol w:w="1878"/>
        <w:gridCol w:w="900"/>
        <w:gridCol w:w="1536"/>
        <w:gridCol w:w="87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(0.59–0.85)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(1.03–2.29)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Psychiatric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(0.26–0.62)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(0.77–1.13)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(0.45–1)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Psychiatric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(0.72–1.6)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2026-03-19T17:19:23Z</dcterms:modified>
  <cp:category/>
</cp:coreProperties>
</file>