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05598" w14:textId="77777777" w:rsidR="00A831D1" w:rsidRDefault="00000000">
      <w:pPr>
        <w:pStyle w:val="Heading1"/>
      </w:pPr>
      <w:r>
        <w:t>Table 3. Multinomial Logistic Regression Results</w:t>
      </w:r>
    </w:p>
    <w:tbl>
      <w:tblPr>
        <w:tblW w:w="0" w:type="auto"/>
        <w:jc w:val="center"/>
        <w:tblLook w:val="0420" w:firstRow="1" w:lastRow="0" w:firstColumn="0" w:lastColumn="0" w:noHBand="0" w:noVBand="1"/>
      </w:tblPr>
      <w:tblGrid>
        <w:gridCol w:w="1798"/>
        <w:gridCol w:w="1894"/>
        <w:gridCol w:w="629"/>
        <w:gridCol w:w="1117"/>
        <w:gridCol w:w="1154"/>
        <w:gridCol w:w="1608"/>
        <w:gridCol w:w="866"/>
      </w:tblGrid>
      <w:tr w:rsidR="00A831D1" w14:paraId="3B93754B" w14:textId="77777777" w:rsidTr="00EE1484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407E9C" w14:textId="77777777" w:rsidR="00A831D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Outcome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61113" w14:textId="77777777" w:rsidR="00A831D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Variable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9B6AF" w14:textId="77777777" w:rsidR="00A831D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OR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21492" w14:textId="77777777" w:rsidR="00A831D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CI_lower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CBE9F8" w14:textId="77777777" w:rsidR="00A831D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CI_upper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DBD37E" w14:textId="77777777" w:rsidR="00A831D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p.value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4D611E" w14:textId="77777777" w:rsidR="00A831D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CI</w:t>
            </w:r>
          </w:p>
        </w:tc>
      </w:tr>
      <w:tr w:rsidR="00A831D1" w14:paraId="32B4E167" w14:textId="77777777" w:rsidTr="00EE1484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079D55" w14:textId="77777777" w:rsidR="00A831D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Gastro-Intestinal and Metabolic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B8C9C" w14:textId="77777777" w:rsidR="00A831D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age_groupOlder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Adults (≥65)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BE287D" w14:textId="77777777" w:rsidR="00A831D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24524D" w14:textId="77777777" w:rsidR="00A831D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76166F" w14:textId="77777777" w:rsidR="00A831D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0.86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477E96" w14:textId="77777777" w:rsidR="00A831D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0.0004553201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D0074C" w14:textId="77777777" w:rsidR="00A831D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(0.58–0.86)</w:t>
            </w:r>
          </w:p>
        </w:tc>
      </w:tr>
      <w:tr w:rsidR="00A831D1" w14:paraId="16F63152" w14:textId="77777777" w:rsidTr="00EE1484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7EA62" w14:textId="77777777" w:rsidR="00A831D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Cardiovascular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2793C2" w14:textId="77777777" w:rsidR="00A831D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age_groupOlder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Adults (≥65)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C515D" w14:textId="77777777" w:rsidR="00A831D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AA5F75" w14:textId="77777777" w:rsidR="00A831D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1D0351" w14:textId="77777777" w:rsidR="00A831D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14FEFC" w14:textId="77777777" w:rsidR="00A831D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0.5136277238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6EB1B" w14:textId="77777777" w:rsidR="00A831D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(0.76–1.74)</w:t>
            </w:r>
          </w:p>
        </w:tc>
      </w:tr>
      <w:tr w:rsidR="00A831D1" w14:paraId="53F09AE9" w14:textId="77777777" w:rsidTr="00EE1484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CEC757" w14:textId="77777777" w:rsidR="00A831D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Psychiatric-related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C2496C" w14:textId="77777777" w:rsidR="00A831D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age_groupOlder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Adults (≥65)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76E9B" w14:textId="77777777" w:rsidR="00A831D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AAF6E5" w14:textId="77777777" w:rsidR="00A831D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CE722D" w14:textId="77777777" w:rsidR="00A831D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FF1105" w14:textId="77777777" w:rsidR="00A831D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0.0015180197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3CE380" w14:textId="77777777" w:rsidR="00A831D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(0.3–0.75)</w:t>
            </w:r>
          </w:p>
        </w:tc>
      </w:tr>
    </w:tbl>
    <w:p w14:paraId="5073CEC2" w14:textId="77777777" w:rsidR="00BC0605" w:rsidRDefault="00BC0605"/>
    <w:sectPr w:rsidR="00BC0605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583447939">
    <w:abstractNumId w:val="1"/>
  </w:num>
  <w:num w:numId="2" w16cid:durableId="1181042027">
    <w:abstractNumId w:val="2"/>
  </w:num>
  <w:num w:numId="3" w16cid:durableId="277642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1D1"/>
    <w:rsid w:val="000314AC"/>
    <w:rsid w:val="00A831D1"/>
    <w:rsid w:val="00BC0605"/>
    <w:rsid w:val="00EE1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48C17C"/>
  <w15:docId w15:val="{A09D6DA3-4ED9-A841-A681-67351EC17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Maxwell Nyarko</cp:lastModifiedBy>
  <cp:revision>10</cp:revision>
  <dcterms:created xsi:type="dcterms:W3CDTF">2017-02-28T11:18:00Z</dcterms:created>
  <dcterms:modified xsi:type="dcterms:W3CDTF">2026-03-20T01:45:00Z</dcterms:modified>
  <cp:category/>
</cp:coreProperties>
</file>