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Data Description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Synthetic commercial claims extract used for the tirzepatide vs semaglutide 2.4 mg study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October 7, 2026</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dataset is fully synthetic. It contains no real patients and was generated with known relationships so that the analytic methods can be checked. It copies the structure, coding systems and common flaws of commercial claims databases such as Optum Clinformatics or Merative MarketScan.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Why claims data were chosen for this research question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research question is about what happens in routine care when commercially insured adults start tirzepatide or semaglutide 2.4 mg: do they stay on treatment, and what do they cost the payer? Administrative claims fit this question better than the other main real-world data sources.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Need of the research question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claims meet it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Alternative sources and their gap</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and adherence measured objectively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Every pharmacy fill is recorded with fill date, days supply and quantity, so refill gaps, PDC and switching can be built from dispensing (not prescribing)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EHRs record prescriptions written, not whether they were filled; surveys rely on self-report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All-cause utilization and costs from the payer perspective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carry the allowed amount for every medical and pharmacy service paid by the plan, across all providers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EHRs capture only one health system's encounters and no payments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 capture during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 files show when a person is covered, so absence of a claim means no billed care during covered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EHRs miss care received outside the system (leakage)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Population of interest (commercially insured adults 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Commercial claims databases cover tens of millions of employer-insured 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Medicare data cover older adults; trials enroll selected volunteers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New-user, active-comparator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Long look-back allows a washout for prior GLP-1 RA use and baseline confounders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Registries rarely include both drugs with a common baseline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Sample size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Thousands of initiators of each drug within 18 months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Single-clinic studies in the literature had a few hundred to a few thousand patients</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Known trade-offs, which shaped the design: claims lack clinical values (BMI, weight change, HbA1c), lab results and the reason for stopping a drug; diagnoses are recorded for billing and may be incomplete; and drugs bought outside the benefit (manufacturer cash-pay programs such as LillyDirect or NovoCare, or with coupons) are invisible. The study therefore focuses on outcomes that claims measure well (fills, utilization and payer costs) rather than weight loss.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Features that make this a claims dataset</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Feature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What it looks like in this extract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it is typical of claims</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Member-level linkage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de-identified member_id links all tables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Vendors replace identifiers with study IDs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De-identified demographics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Birth year only (no birth date), sex,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HIPAA de-identification limits dates and geography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 (enrollment) file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Segments with start and end dates, plan type, employer group, and separate medical and pharmacy coverage flags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Needed to know when a person's care would appear in the data; pharmacy claims are captured only with drug coverage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claims (NCPDP)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row per dispensing transaction: NDC, fill date, days supply, metric quantity, refill number, channel (retail, mail, specialty), allowed, paid and out-of-pocket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Standard retail pharmacy transaction fields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Reversed transactions (claim_status = R) carry the same claim ID with negative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Pharmacies reverse claims that are never picked up or are re-billed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claims (CMS-1500 and UB-04)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(PROF) and institutional (INST) claims, one row per line, with CPT/HCPCS procedure codes, revenue codes, place of service, provider specialty, admission and discharge dates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and facility billing formats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Diagnosis 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 to 5 ICD-10-CM codes per claim, repeated on every 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Billing forms carry header-level diagnoses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Coding systems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NDC-11, ICD-10-CM, CPT/HCPCS, UB-04 revenue codes, CMS place-of-service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Standard U.S. code sets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Allowed and paid amounts in nominal dollars; no rebates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show what the plan allowed and paid; manufacturer rebates are paid later and are not in claims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Calendar-year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split into yearly gzip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Typical vendor delivery</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Selection of 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 selected for at least one anti-obesity or GLP-1 RA fill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Vendors deliver study-specific extracts</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Right censoring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Data end June 30, 2026; enrollment segments are cut at that date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Every extract has a data cut-off</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Size and content of the extract</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Rows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Key content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members.csv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14,766 (14,700 unique members)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birth year, sex (F 9,608; M 5,096; U 62), state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94,388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2018-2026 coverage; plan types PPO 39%, CDHP 24%, HMO 16%, POS 13%, EPO 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pharmacy_claims 2023-2026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553,699 transactions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all drugs; 10,535 reversals; 51 NDCs in the lookup</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medical_claims 2023-2026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646,831 claim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607,210 professional and 39,621 institutional lines</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Reference tables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 files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lookup, ICD-10-CM, CPT/HCPCS, place of service, revenue codes, provider specialty, state-to-region, data dictionary</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Extract period: January 1, 2023 to June 30, 2026. Study drugs: Zepbound (tirzepatide; 6 NDCs, 2.5-15 mg pens) and Wegovy (semaglutide 2.4 mg; 5 NDCs, 0.25-2.4 mg pens). Diabetes-labeled products (Mounjaro, Ozempic, Rybelsus), liraglutide (Saxenda), other anti-obesity drugs and common chronic medications are also present.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Data quality problems found (and how they were handled)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Like a real vendor extract, the files contain errors that must be found and fixed before analysis. All were logged by </w:t>
      </w:r>
      <w:r>
        <w:rPr>
          <w:rFonts w:ascii="Consolas" w:hAnsi="Consolas" w:eastAsia="Consolas" w:cs="Consolas"/>
          <w:i w:val="false"/>
          <w:b w:val="false"/>
          <w:u w:val="none"/>
          <w:strike w:val="false"/>
          <w:sz w:val="19"/>
          <w:szCs w:val="19"/>
          <w:color w:val="000000"/>
        </w:rPr>
        <w:t xml:space="preserve">05_code/02_data_quality_review.R</w:t>
      </w:r>
      <w:r>
        <w:rPr>
          <w:rFonts w:ascii="Arial" w:hAnsi="Arial" w:eastAsia="Arial" w:cs="Arial"/>
          <w:i w:val="false"/>
          <w:b w:val="false"/>
          <w:u w:val="none"/>
          <w:strike w:val="false"/>
          <w:sz w:val="21"/>
          <w:szCs w:val="21"/>
          <w:color w:val="000000"/>
        </w:rPr>
        <w:t xml:space="preserve"> (</w:t>
      </w:r>
      <w:r>
        <w:rPr>
          <w:rFonts w:ascii="Consolas" w:hAnsi="Consolas" w:eastAsia="Consolas" w:cs="Consolas"/>
          <w:i w:val="false"/>
          <w:b w:val="false"/>
          <w:u w:val="none"/>
          <w:strike w:val="false"/>
          <w:sz w:val="19"/>
          <w:szCs w:val="19"/>
          <w:color w:val="000000"/>
        </w:rPr>
        <w:t xml:space="preserve">06_output/tables/data_quality_log.csv</w:t>
      </w:r>
      <w:r>
        <w:rPr>
          <w:rFonts w:ascii="Arial" w:hAnsi="Arial" w:eastAsia="Arial" w:cs="Arial"/>
          <w:i w:val="false"/>
          <w:b w:val="false"/>
          <w:u w:val="none"/>
          <w:strike w:val="false"/>
          <w:sz w:val="21"/>
          <w:szCs w:val="21"/>
          <w:color w:val="000000"/>
        </w:rPr>
        <w:t xml:space="preserv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Problem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Rows affected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Handling</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rows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ID with conflicting demographics (e.g., sex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 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 excluded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Excluded at the age criterion</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Sex unknown (U)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 = Unknown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Overlapping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Merged into continuous spans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Gaps between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Gaps of 30 days or less bridged</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pharmacy coverage in segment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counted as covered time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with hyphens (5-4-2)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127,841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Hyphens removed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in 4-4-2 format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Labeler padded to 5 digits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stored as a number (leading zeros lost)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Left-padded to 11 digits</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rows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Reversed claims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Reversal and the reversed paid claim both dropped</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paid claim ID repeated with format-only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row kept</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allowed amount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Imputed as paid + out-of-pocket</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Implausible days supply (0, 1, 2, 365,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Replaced with the usual days supply for the NDC and quantity</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Lower-case ICD-10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Upper-cased</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ICD-10 codes with and without decimal point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216,122 with a dot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Dots removed</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Place of service "2" instead of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Left-padded</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Duplicate claim lines differing only in code format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row kept</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allowed amount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Imputed from paid using the typical paid-to-allowed ratio</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Negative adjustment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Kept and netted within claim; claim totals floored at $0</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Very large inpatient lines (&gt; $100,000)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Kept; winsorized in a sensitivity analysis</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Limitations of the data for this question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No clinical measurements (BMI value, weight, HbA1c); obesity severity comes only from optional BMI Z-codes.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No information on why a drug was stopped (side effects, cost, supply shortage, goal reached).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Cash-pay and manufacturer direct-to-consumer purchases are not captured; these are common for anti-obesity drugs and would look like discontinuation.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Allowed amounts exclude manufacturer rebates, which are large for both drugs, so pharmacy costs are higher than the payer's true net cost.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Requiring 12 months of continuous enrollment after index excludes people who leave the plan.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Because the data are synthetic, results show how the methods work and say nothing about the real drugs.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2026-10-07T23:47:31Z</dcterms:modified>
  <cp:category/>
</cp:coreProperties>
</file>