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true"/>
          <w:u w:val="none"/>
          <w:strike w:val="false"/>
          <w:sz w:val="36"/>
          <w:szCs w:val="36"/>
          <w:color w:val="1F3864"/>
        </w:rPr>
        <w:t xml:space="preserve">Study Protocol and Statistical Analysis Plan</w:t>
      </w:r>
    </w:p>
    <w:p>
      <w:pPr>
        <w:pStyle w:val="Normal"/>
        <w:jc w:val="left"/>
        <w:pBdr>
          <w:bottom w:val="none" w:sz="0" w:space="0" w:color="000000"/>
          <w:top w:val="none" w:sz="0" w:space="0" w:color="000000"/>
          <w:left w:val="none" w:sz="0" w:space="0" w:color="000000"/>
          <w:right w:val="none" w:sz="0" w:space="0" w:color="000000"/>
        </w:pBdr>
        <w:spacing w:after="80" w:before="0" w:line="264"/>
        <w:ind w:left="0" w:right="0" w:firstLine="0" w:firstLineChars="0"/>
      </w:pPr>
      <w:r>
        <w:rPr>
          <w:rFonts w:ascii="Arial" w:hAnsi="Arial" w:eastAsia="Arial" w:cs="Arial"/>
          <w:i w:val="false"/>
          <w:b w:val="true"/>
          <w:u w:val="none"/>
          <w:strike w:val="false"/>
          <w:sz w:val="21"/>
          <w:szCs w:val="21"/>
          <w:color w:val="000000"/>
        </w:rPr>
        <w:t xml:space="preserve">Real-World Persistence and Healthcare Costs of Tirzepatide versus Semaglutide 2.4 mg in Commercially Insured Adults with Obesity</w:t>
      </w:r>
    </w:p>
    <w:p>
      <w:pPr>
        <w:pStyle w:val="Normal"/>
        <w:jc w:val="left"/>
        <w:pBdr>
          <w:bottom w:val="none" w:sz="0" w:space="0" w:color="000000"/>
          <w:top w:val="none" w:sz="0" w:space="0" w:color="000000"/>
          <w:left w:val="none" w:sz="0" w:space="0" w:color="000000"/>
          <w:right w:val="none" w:sz="0" w:space="0" w:color="000000"/>
        </w:pBdr>
        <w:spacing w:after="80" w:before="0" w:line="264"/>
        <w:ind w:left="0" w:right="0" w:firstLine="0" w:firstLineChars="0"/>
      </w:pPr>
      <w:r>
        <w:rPr>
          <w:rFonts w:ascii="Arial" w:hAnsi="Arial" w:eastAsia="Arial" w:cs="Arial"/>
          <w:i w:val="false"/>
          <w:b w:val="false"/>
          <w:u w:val="none"/>
          <w:strike w:val="false"/>
          <w:sz w:val="21"/>
          <w:szCs w:val="21"/>
          <w:color w:val="000000"/>
        </w:rPr>
        <w:t xml:space="preserve">Maxwell K. Nyarko | Version 1.0 | October 7, 2026 | Status: final before outcome analysis</w:t>
      </w:r>
    </w:p>
    <w:p>
      <w:pPr>
        <w:pStyle w:val="Normal"/>
        <w:jc w:val="left"/>
        <w:pBdr>
          <w:bottom w:val="none" w:sz="0" w:space="0" w:color="000000"/>
          <w:top w:val="none" w:sz="0" w:space="0" w:color="000000"/>
          <w:left w:val="none" w:sz="0" w:space="0" w:color="000000"/>
          <w:right w:val="none" w:sz="0" w:space="0" w:color="000000"/>
        </w:pBdr>
        <w:spacing w:after="80" w:before="0" w:line="264"/>
        <w:ind w:left="0" w:right="0" w:firstLine="0" w:firstLineChars="0"/>
      </w:pPr>
      <w:r>
        <w:rPr>
          <w:rFonts w:ascii="Arial" w:hAnsi="Arial" w:eastAsia="Arial" w:cs="Arial"/>
          <w:i w:val="false"/>
          <w:b w:val="false"/>
          <w:u w:val="none"/>
          <w:strike w:val="false"/>
          <w:sz w:val="21"/>
          <w:szCs w:val="21"/>
          <w:color w:val="000000"/>
        </w:rPr>
        <w:t xml:space="preserve">This plan was written and committed to the project's version-control repository (GitHub, commit "SAP v1.0") before any follow-up outcome was derived or compared between groups. Only the cohort feasibility count (number of initiators) was examined before this version. Any later change is listed in Section 13 with its reason.</w:t>
      </w:r>
    </w:p>
    <w:p>
      <w:pPr>
        <w:pStyle w:val="Normal"/>
        <w:jc w:val="left"/>
        <w:pBdr>
          <w:bottom w:val="none" w:sz="0" w:space="0" w:color="000000"/>
          <w:top w:val="none" w:sz="0" w:space="0" w:color="000000"/>
          <w:left w:val="none" w:sz="0" w:space="0" w:color="000000"/>
          <w:right w:val="none" w:sz="0" w:space="0" w:color="000000"/>
        </w:pBdr>
        <w:spacing w:after="80" w:before="0" w:line="264"/>
        <w:ind w:left="0" w:right="0" w:firstLine="0" w:firstLineChars="0"/>
      </w:pPr>
      <w:r>
        <w:rPr>
          <w:rFonts w:ascii="Arial" w:hAnsi="Arial" w:eastAsia="Arial" w:cs="Arial"/>
          <w:i w:val="false"/>
          <w:b w:val="false"/>
          <w:u w:val="none"/>
          <w:strike w:val="false"/>
          <w:sz w:val="21"/>
          <w:szCs w:val="21"/>
          <w:color w:val="000000"/>
        </w:rPr>
        <w:t xml:space="preserve">The data are fully synthetic. Results are a methods demonstration and are not evidence about either drug.</w:t>
      </w:r>
    </w:p>
    <w:p>
      <w:pPr>
        <w:pStyle w:val="Normal"/>
        <w:jc w:val="left"/>
        <w:pBdr>
          <w:bottom w:val="none" w:sz="0" w:space="0" w:color="000000"/>
          <w:top w:val="none" w:sz="0" w:space="0" w:color="000000"/>
          <w:left w:val="none" w:sz="0" w:space="0" w:color="000000"/>
          <w:right w:val="none" w:sz="0" w:space="0" w:color="000000"/>
        </w:pBdr>
        <w:spacing w:after="80" w:before="200" w:line="240"/>
        <w:ind w:left="0" w:right="0" w:firstLine="0" w:firstLineChars="0"/>
      </w:pPr>
      <w:r>
        <w:rPr>
          <w:rFonts w:ascii="Arial" w:hAnsi="Arial" w:eastAsia="Arial" w:cs="Arial"/>
          <w:i w:val="false"/>
          <w:b w:val="true"/>
          <w:u w:val="none"/>
          <w:strike w:val="false"/>
          <w:sz w:val="28"/>
          <w:szCs w:val="28"/>
          <w:color w:val="1F3864"/>
        </w:rPr>
        <w:t xml:space="preserve">1. Objectives and hypotheses</w:t>
      </w:r>
    </w:p>
    <w:tbl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E8EEF5"/>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7"/>
                <w:szCs w:val="17"/>
                <w:color w:val="000000"/>
              </w:rPr>
            </w:pPr>
            <w:r>
              <w:rPr>
                <w:rFonts w:ascii="Arial" w:hAnsi="Arial" w:eastAsia="Arial" w:cs="Arial"/>
                <w:i w:val="false"/>
                <w:b w:val="true"/>
                <w:u w:val="none"/>
                <w:strike w:val="false"/>
                <w:sz w:val="17"/>
                <w:szCs w:val="17"/>
                <w:color w:val="000000"/>
              </w:rPr>
              <w:t xml:space="preserve">Aim</w:t>
            </w:r>
          </w:p>
        </w:tc>
        <w:tc>
          <w:tcPr>
            <w:tcBorders>
              <w:bottom w:val="single" w:sz="12" w:space="0" w:color="666666"/>
              <w:top w:val="single" w:sz="12" w:space="0" w:color="666666"/>
              <w:left w:val="none" w:sz="0" w:space="0" w:color="000000"/>
              <w:right w:val="none" w:sz="0" w:space="0" w:color="000000"/>
            </w:tcBorders>
            <w:shd w:val="clear" w:color="auto" w:fill="E8EEF5"/>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7"/>
                <w:szCs w:val="17"/>
                <w:color w:val="000000"/>
              </w:rPr>
            </w:pPr>
            <w:r>
              <w:rPr>
                <w:rFonts w:ascii="Arial" w:hAnsi="Arial" w:eastAsia="Arial" w:cs="Arial"/>
                <w:i w:val="false"/>
                <w:b w:val="true"/>
                <w:u w:val="none"/>
                <w:strike w:val="false"/>
                <w:sz w:val="17"/>
                <w:szCs w:val="17"/>
                <w:color w:val="000000"/>
              </w:rPr>
              <w:t xml:space="preserve">Objective</w:t>
            </w:r>
          </w:p>
        </w:tc>
        <w:tc>
          <w:tcPr>
            <w:tcBorders>
              <w:bottom w:val="single" w:sz="12" w:space="0" w:color="666666"/>
              <w:top w:val="single" w:sz="12" w:space="0" w:color="666666"/>
              <w:left w:val="none" w:sz="0" w:space="0" w:color="000000"/>
              <w:right w:val="none" w:sz="0" w:space="0" w:color="000000"/>
            </w:tcBorders>
            <w:shd w:val="clear" w:color="auto" w:fill="E8EEF5"/>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7"/>
                <w:szCs w:val="17"/>
                <w:color w:val="000000"/>
              </w:rPr>
            </w:pPr>
            <w:r>
              <w:rPr>
                <w:rFonts w:ascii="Arial" w:hAnsi="Arial" w:eastAsia="Arial" w:cs="Arial"/>
                <w:i w:val="false"/>
                <w:b w:val="true"/>
                <w:u w:val="none"/>
                <w:strike w:val="false"/>
                <w:sz w:val="17"/>
                <w:szCs w:val="17"/>
                <w:color w:val="000000"/>
              </w:rPr>
              <w:t xml:space="preserve">Hypothesis</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1 (primary)</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Compare 12-month persistence (no refill gap &gt; 60 days) and time to discontinuation</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H1: tirzepatide has higher persistence and a lower hazard of discontinuation</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Compare adherence (PDC; PDC &gt;= 80%) and switching to the other drug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H2: tirzepatide has higher PDC</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Compare 12-month all-cause utilization: any inpatient admission, any ED visit, outpatient visits; obesity-related outpatient visits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H3: differences are small</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Compare 12-month all-cause medical, pharmacy and total allowed costs (U.S. commercial payer)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H3: total cost differences are driven by pharmacy costs</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5 (exploratory)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Effect modification of persistence by obesity class, sex, age group and plan type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No directional hypothesis</w:t>
            </w:r>
          </w:p>
        </w:tc>
      </w:tr>
      <w:tr>
        <w:trPr>
          <w:trHeight w:val="360" w:hRule="auto"/>
        </w:trPr>
        body6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6 (exploratory)</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Robustness to persistence definitions, cost handling, analytic method and unmeasured confounding</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Conclusions unchanged</w:t>
            </w:r>
          </w:p>
        </w:tc>
      </w:tr>
    </w:tbl>
    <w:p>
      <w:pPr>
        <w:pStyle w:val="Normal"/>
      </w:pPr>
      <w:r>
        <w:t xml:space="preserve"/>
      </w:r>
    </w:p>
    <w:p>
      <w:pPr>
        <w:pStyle w:val="Normal"/>
        <w:jc w:val="left"/>
        <w:pBdr>
          <w:bottom w:val="none" w:sz="0" w:space="0" w:color="000000"/>
          <w:top w:val="none" w:sz="0" w:space="0" w:color="000000"/>
          <w:left w:val="none" w:sz="0" w:space="0" w:color="000000"/>
          <w:right w:val="none" w:sz="0" w:space="0" w:color="000000"/>
        </w:pBdr>
        <w:spacing w:after="80" w:before="200" w:line="240"/>
        <w:ind w:left="0" w:right="0" w:firstLine="0" w:firstLineChars="0"/>
      </w:pPr>
      <w:r>
        <w:rPr>
          <w:rFonts w:ascii="Arial" w:hAnsi="Arial" w:eastAsia="Arial" w:cs="Arial"/>
          <w:i w:val="false"/>
          <w:b w:val="true"/>
          <w:u w:val="none"/>
          <w:strike w:val="false"/>
          <w:sz w:val="28"/>
          <w:szCs w:val="28"/>
          <w:color w:val="1F3864"/>
        </w:rPr>
        <w:t xml:space="preserve">2. Design</w:t>
      </w:r>
    </w:p>
    <w:p>
      <w:pPr>
        <w:pStyle w:val="Normal"/>
        <w:jc w:val="left"/>
        <w:pBdr>
          <w:bottom w:val="none" w:sz="0" w:space="0" w:color="000000"/>
          <w:top w:val="none" w:sz="0" w:space="0" w:color="000000"/>
          <w:left w:val="none" w:sz="0" w:space="0" w:color="000000"/>
          <w:right w:val="none" w:sz="0" w:space="0" w:color="000000"/>
        </w:pBdr>
        <w:spacing w:after="80" w:before="0" w:line="264"/>
        <w:ind w:left="0" w:right="0" w:firstLine="0" w:firstLineChars="0"/>
      </w:pPr>
      <w:r>
        <w:rPr>
          <w:rFonts w:ascii="Arial" w:hAnsi="Arial" w:eastAsia="Arial" w:cs="Arial"/>
          <w:i w:val="false"/>
          <w:b w:val="false"/>
          <w:u w:val="none"/>
          <w:strike w:val="false"/>
          <w:sz w:val="21"/>
          <w:szCs w:val="21"/>
          <w:color w:val="000000"/>
        </w:rPr>
        <w:t xml:space="preserve">Retrospective new-user, active-comparator cohort study in administrative claims, framed as the emulation of a target trial (Hernán &amp; Robins 2016). Reporting follows RECORD-PE and the TARGET guideline.</w:t>
      </w:r>
    </w:p>
    <w:p>
      <w:pPr>
        <w:pStyle w:val="Normal"/>
        <w:jc w:val="left"/>
        <w:pBdr>
          <w:bottom w:val="none" w:sz="0" w:space="0" w:color="000000"/>
          <w:top w:val="none" w:sz="0" w:space="0" w:color="000000"/>
          <w:left w:val="none" w:sz="0" w:space="0" w:color="000000"/>
          <w:right w:val="none" w:sz="0" w:space="0" w:color="000000"/>
        </w:pBdr>
        <w:spacing w:after="80" w:before="120" w:line="240"/>
        <w:ind w:left="0" w:right="0" w:firstLine="0" w:firstLineChars="0"/>
      </w:pPr>
      <w:r>
        <w:rPr>
          <w:rFonts w:ascii="Arial" w:hAnsi="Arial" w:eastAsia="Arial" w:cs="Arial"/>
          <w:i w:val="false"/>
          <w:b w:val="true"/>
          <w:u w:val="none"/>
          <w:strike w:val="false"/>
          <w:sz w:val="24"/>
          <w:szCs w:val="24"/>
          <w:color w:val="2E5597"/>
        </w:rPr>
        <w:t xml:space="preserve">2.1 Target trial specification and emulation</w:t>
      </w:r>
    </w:p>
    <w:tbl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E8EEF5"/>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7"/>
                <w:szCs w:val="17"/>
                <w:color w:val="000000"/>
              </w:rPr>
            </w:pPr>
            <w:r>
              <w:rPr>
                <w:rFonts w:ascii="Arial" w:hAnsi="Arial" w:eastAsia="Arial" w:cs="Arial"/>
                <w:i w:val="false"/>
                <w:b w:val="true"/>
                <w:u w:val="none"/>
                <w:strike w:val="false"/>
                <w:sz w:val="17"/>
                <w:szCs w:val="17"/>
                <w:color w:val="000000"/>
              </w:rPr>
              <w:t xml:space="preserve">Protocol element</w:t>
            </w:r>
          </w:p>
        </w:tc>
        <w:tc>
          <w:tcPr>
            <w:tcBorders>
              <w:bottom w:val="single" w:sz="12" w:space="0" w:color="666666"/>
              <w:top w:val="single" w:sz="12" w:space="0" w:color="666666"/>
              <w:left w:val="none" w:sz="0" w:space="0" w:color="000000"/>
              <w:right w:val="none" w:sz="0" w:space="0" w:color="000000"/>
            </w:tcBorders>
            <w:shd w:val="clear" w:color="auto" w:fill="E8EEF5"/>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7"/>
                <w:szCs w:val="17"/>
                <w:color w:val="000000"/>
              </w:rPr>
            </w:pPr>
            <w:r>
              <w:rPr>
                <w:rFonts w:ascii="Arial" w:hAnsi="Arial" w:eastAsia="Arial" w:cs="Arial"/>
                <w:i w:val="false"/>
                <w:b w:val="true"/>
                <w:u w:val="none"/>
                <w:strike w:val="false"/>
                <w:sz w:val="17"/>
                <w:szCs w:val="17"/>
                <w:color w:val="000000"/>
              </w:rPr>
              <w:t xml:space="preserve">Target trial (ideal randomized trial)</w:t>
            </w:r>
          </w:p>
        </w:tc>
        <w:tc>
          <w:tcPr>
            <w:tcBorders>
              <w:bottom w:val="single" w:sz="12" w:space="0" w:color="666666"/>
              <w:top w:val="single" w:sz="12" w:space="0" w:color="666666"/>
              <w:left w:val="none" w:sz="0" w:space="0" w:color="000000"/>
              <w:right w:val="none" w:sz="0" w:space="0" w:color="000000"/>
            </w:tcBorders>
            <w:shd w:val="clear" w:color="auto" w:fill="E8EEF5"/>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7"/>
                <w:szCs w:val="17"/>
                <w:color w:val="000000"/>
              </w:rPr>
            </w:pPr>
            <w:r>
              <w:rPr>
                <w:rFonts w:ascii="Arial" w:hAnsi="Arial" w:eastAsia="Arial" w:cs="Arial"/>
                <w:i w:val="false"/>
                <w:b w:val="true"/>
                <w:u w:val="none"/>
                <w:strike w:val="false"/>
                <w:sz w:val="17"/>
                <w:szCs w:val="17"/>
                <w:color w:val="000000"/>
              </w:rPr>
              <w:t xml:space="preserve">Emulation in claims</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Eligibility</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Adults 18-64 with obesity, no diabetes, no prior GLP-1 RA, commercially insured, no contraindication</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Same, using diagnosis and pharmacy codes in the 365-day baseline; continuous enrollment 365 days before and after index</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Treatment strategies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Start tirzepatide (Zepbound) vs start semaglutide 2.4 mg (Wegovy)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First pharmacy fill of either drug</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Assignment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Randomized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Not randomized; confounding addressed with inverse probability of treatment weighting (IPTW) on measured baseline covariates</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Time zero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Randomization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Index date = first fill (eligibility, assignment and start of follow-up aligned, avoiding immortal time)</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Follow-up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12 months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Index date to day 364</w:t>
            </w:r>
          </w:p>
        </w:tc>
      </w:tr>
      <w:tr>
        <w:trPr>
          <w:trHeight w:val="360"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Outcomes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Persistence, adherence, switching, utilization, costs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Derived from pharmacy and medical claims</w:t>
            </w:r>
          </w:p>
        </w:tc>
      </w:tr>
      <w:tr>
        <w:trPr>
          <w:trHeight w:val="360" w:hRule="auto"/>
        </w:trPr>
        body7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Causal contrast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Intention-to-treat effect of initiating each drug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Observational analogue of the intention-to-treat effect (initiation), ATE estimand</w:t>
            </w:r>
          </w:p>
        </w:tc>
      </w:tr>
      <w:tr>
        <w:trPr>
          <w:trHeight w:val="360"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Analysis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Comparison of randomized groups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IPTW-weighted comparison with robust variance</w:t>
            </w:r>
          </w:p>
        </w:tc>
      </w:tr>
    </w:tbl>
    <w:p>
      <w:pPr>
        <w:pStyle w:val="Normal"/>
      </w:pPr>
      <w:r>
        <w:t xml:space="preserve"/>
      </w:r>
    </w:p>
    <w:p>
      <w:pPr>
        <w:pStyle w:val="Normal"/>
        <w:jc w:val="left"/>
        <w:pBdr>
          <w:bottom w:val="none" w:sz="0" w:space="0" w:color="000000"/>
          <w:top w:val="none" w:sz="0" w:space="0" w:color="000000"/>
          <w:left w:val="none" w:sz="0" w:space="0" w:color="000000"/>
          <w:right w:val="none" w:sz="0" w:space="0" w:color="000000"/>
        </w:pBdr>
        <w:spacing w:after="80" w:before="200" w:line="240"/>
        <w:ind w:left="0" w:right="0" w:firstLine="0" w:firstLineChars="0"/>
      </w:pPr>
      <w:r>
        <w:rPr>
          <w:rFonts w:ascii="Arial" w:hAnsi="Arial" w:eastAsia="Arial" w:cs="Arial"/>
          <w:i w:val="false"/>
          <w:b w:val="true"/>
          <w:u w:val="none"/>
          <w:strike w:val="false"/>
          <w:sz w:val="28"/>
          <w:szCs w:val="28"/>
          <w:color w:val="1F3864"/>
        </w:rPr>
        <w:t xml:space="preserve">3. Data source</w:t>
      </w:r>
    </w:p>
    <w:p>
      <w:pPr>
        <w:pStyle w:val="Normal"/>
        <w:jc w:val="left"/>
        <w:pBdr>
          <w:bottom w:val="none" w:sz="0" w:space="0" w:color="000000"/>
          <w:top w:val="none" w:sz="0" w:space="0" w:color="000000"/>
          <w:left w:val="none" w:sz="0" w:space="0" w:color="000000"/>
          <w:right w:val="none" w:sz="0" w:space="0" w:color="000000"/>
        </w:pBdr>
        <w:spacing w:after="80" w:before="0" w:line="264"/>
        <w:ind w:left="0" w:right="0" w:firstLine="0" w:firstLineChars="0"/>
      </w:pPr>
      <w:r>
        <w:rPr>
          <w:rFonts w:ascii="Arial" w:hAnsi="Arial" w:eastAsia="Arial" w:cs="Arial"/>
          <w:i w:val="false"/>
          <w:b w:val="false"/>
          <w:u w:val="none"/>
          <w:strike w:val="false"/>
          <w:sz w:val="21"/>
          <w:szCs w:val="21"/>
          <w:color w:val="000000"/>
        </w:rPr>
        <w:t xml:space="preserve">Synthetic commercial claims extract (members, enrollment, pharmacy claims, medical claims), January 1, 2023 to June 30, 2026, modeled on vendor data such as Optum or MarketScan. Members were selected for at least one fill of an anti-obesity medication or GLP-1 RA. Costs are allowed amounts in nominal U.S. dollars; manufacturer rebates and cash-pay purchases are not observed. A separate data description document gives details.</w:t>
      </w:r>
    </w:p>
    <w:p>
      <w:pPr>
        <w:pStyle w:val="Normal"/>
        <w:jc w:val="left"/>
        <w:pBdr>
          <w:bottom w:val="none" w:sz="0" w:space="0" w:color="000000"/>
          <w:top w:val="none" w:sz="0" w:space="0" w:color="000000"/>
          <w:left w:val="none" w:sz="0" w:space="0" w:color="000000"/>
          <w:right w:val="none" w:sz="0" w:space="0" w:color="000000"/>
        </w:pBdr>
        <w:spacing w:after="80" w:before="200" w:line="240"/>
        <w:ind w:left="0" w:right="0" w:firstLine="0" w:firstLineChars="0"/>
      </w:pPr>
      <w:r>
        <w:rPr>
          <w:rFonts w:ascii="Arial" w:hAnsi="Arial" w:eastAsia="Arial" w:cs="Arial"/>
          <w:i w:val="false"/>
          <w:b w:val="true"/>
          <w:u w:val="none"/>
          <w:strike w:val="false"/>
          <w:sz w:val="28"/>
          <w:szCs w:val="28"/>
          <w:color w:val="1F3864"/>
        </w:rPr>
        <w:t xml:space="preserve">4. Study population</w:t>
      </w:r>
    </w:p>
    <w:p>
      <w:pPr>
        <w:pStyle w:val="Normal"/>
        <w:jc w:val="left"/>
        <w:pBdr>
          <w:bottom w:val="none" w:sz="0" w:space="0" w:color="000000"/>
          <w:top w:val="none" w:sz="0" w:space="0" w:color="000000"/>
          <w:left w:val="none" w:sz="0" w:space="0" w:color="000000"/>
          <w:right w:val="none" w:sz="0" w:space="0" w:color="000000"/>
        </w:pBdr>
        <w:spacing w:after="80" w:before="120" w:line="240"/>
        <w:ind w:left="0" w:right="0" w:firstLine="0" w:firstLineChars="0"/>
      </w:pPr>
      <w:r>
        <w:rPr>
          <w:rFonts w:ascii="Arial" w:hAnsi="Arial" w:eastAsia="Arial" w:cs="Arial"/>
          <w:i w:val="false"/>
          <w:b w:val="true"/>
          <w:u w:val="none"/>
          <w:strike w:val="false"/>
          <w:sz w:val="24"/>
          <w:szCs w:val="24"/>
          <w:color w:val="2E5597"/>
        </w:rPr>
        <w:t xml:space="preserve">4.1 Time windows</w:t>
      </w:r>
    </w:p>
    <w:tbl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E8EEF5"/>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7"/>
                <w:szCs w:val="17"/>
                <w:color w:val="000000"/>
              </w:rPr>
            </w:pPr>
            <w:r>
              <w:rPr>
                <w:rFonts w:ascii="Arial" w:hAnsi="Arial" w:eastAsia="Arial" w:cs="Arial"/>
                <w:i w:val="false"/>
                <w:b w:val="true"/>
                <w:u w:val="none"/>
                <w:strike w:val="false"/>
                <w:sz w:val="17"/>
                <w:szCs w:val="17"/>
                <w:color w:val="000000"/>
              </w:rPr>
              <w:t xml:space="preserve">Window</w:t>
            </w:r>
          </w:p>
        </w:tc>
        <w:tc>
          <w:tcPr>
            <w:tcBorders>
              <w:bottom w:val="single" w:sz="12" w:space="0" w:color="666666"/>
              <w:top w:val="single" w:sz="12" w:space="0" w:color="666666"/>
              <w:left w:val="none" w:sz="0" w:space="0" w:color="000000"/>
              <w:right w:val="none" w:sz="0" w:space="0" w:color="000000"/>
            </w:tcBorders>
            <w:shd w:val="clear" w:color="auto" w:fill="E8EEF5"/>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7"/>
                <w:szCs w:val="17"/>
                <w:color w:val="000000"/>
              </w:rPr>
            </w:pPr>
            <w:r>
              <w:rPr>
                <w:rFonts w:ascii="Arial" w:hAnsi="Arial" w:eastAsia="Arial" w:cs="Arial"/>
                <w:i w:val="false"/>
                <w:b w:val="true"/>
                <w:u w:val="none"/>
                <w:strike w:val="false"/>
                <w:sz w:val="17"/>
                <w:szCs w:val="17"/>
                <w:color w:val="000000"/>
              </w:rPr>
              <w:t xml:space="preserve">Definition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Identification window</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January 1, 2024 to June 30, 2025</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Index date (time zero)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Date of the first paid fill of Zepbound or Wegovy in the identification window</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Baseline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Index date - 365 to index date - 1 (diagnoses also accepted on the index date)</w:t>
            </w:r>
          </w:p>
        </w:tc>
      </w:tr>
      <w:tr>
        <w:trPr>
          <w:trHeight w:val="360" w:hRule="auto"/>
        </w:trPr>
        body4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Follow-up</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Index date (day 0) to day 364</w:t>
            </w:r>
          </w:p>
        </w:tc>
      </w:tr>
    </w:tbl>
    <w:p>
      <w:pPr>
        <w:pStyle w:val="Normal"/>
      </w:pPr>
      <w:r>
        <w:t xml:space="preserve"/>
      </w:r>
    </w:p>
    <w:p>
      <w:pPr>
        <w:pStyle w:val="Normal"/>
        <w:jc w:val="left"/>
        <w:pBdr>
          <w:bottom w:val="none" w:sz="0" w:space="0" w:color="000000"/>
          <w:top w:val="none" w:sz="0" w:space="0" w:color="000000"/>
          <w:left w:val="none" w:sz="0" w:space="0" w:color="000000"/>
          <w:right w:val="none" w:sz="0" w:space="0" w:color="000000"/>
        </w:pBdr>
        <w:spacing w:after="80" w:before="120" w:line="240"/>
        <w:ind w:left="0" w:right="0" w:firstLine="0" w:firstLineChars="0"/>
      </w:pPr>
      <w:r>
        <w:rPr>
          <w:rFonts w:ascii="Arial" w:hAnsi="Arial" w:eastAsia="Arial" w:cs="Arial"/>
          <w:i w:val="false"/>
          <w:b w:val="true"/>
          <w:u w:val="none"/>
          <w:strike w:val="false"/>
          <w:sz w:val="24"/>
          <w:szCs w:val="24"/>
          <w:color w:val="2E5597"/>
        </w:rPr>
        <w:t xml:space="preserve">4.2 Inclusion and exclusion criteria (applied in this order; counts reported in a flow diagram)</w:t>
      </w:r>
    </w:p>
    <w:p>
      <w:pPr>
        <w:pStyle w:val="Normal"/>
        <w:jc w:val="left"/>
        <w:pBdr>
          <w:bottom w:val="none" w:sz="0" w:space="0" w:color="000000"/>
          <w:top w:val="none" w:sz="0" w:space="0" w:color="000000"/>
          <w:left w:val="none" w:sz="0" w:space="0" w:color="000000"/>
          <w:right w:val="none" w:sz="0" w:space="0" w:color="000000"/>
        </w:pBdr>
        <w:spacing w:after="80" w:before="0" w:line="264"/>
        <w:ind w:left="280" w:right="0" w:firstLine="0" w:firstLineChars="0"/>
      </w:pPr>
      <w:r>
        <w:rPr>
          <w:rFonts w:ascii="Arial" w:hAnsi="Arial" w:eastAsia="Arial" w:cs="Arial"/>
          <w:i w:val="false"/>
          <w:b w:val="false"/>
          <w:u w:val="none"/>
          <w:strike w:val="false"/>
          <w:sz w:val="21"/>
          <w:szCs w:val="21"/>
          <w:color w:val="000000"/>
        </w:rPr>
        <w:t xml:space="preserve">1.  </w:t>
      </w:r>
      <w:r>
        <w:rPr>
          <w:rFonts w:ascii="Arial" w:hAnsi="Arial" w:eastAsia="Arial" w:cs="Arial"/>
          <w:i w:val="false"/>
          <w:b w:val="false"/>
          <w:u w:val="none"/>
          <w:strike w:val="false"/>
          <w:sz w:val="21"/>
          <w:szCs w:val="21"/>
          <w:color w:val="000000"/>
        </w:rPr>
        <w:t xml:space="preserve">First paid Zepbound or Wegovy fill in the identification window (sets the index date and the treatment group).</w:t>
      </w:r>
    </w:p>
    <w:p>
      <w:pPr>
        <w:pStyle w:val="Normal"/>
        <w:jc w:val="left"/>
        <w:pBdr>
          <w:bottom w:val="none" w:sz="0" w:space="0" w:color="000000"/>
          <w:top w:val="none" w:sz="0" w:space="0" w:color="000000"/>
          <w:left w:val="none" w:sz="0" w:space="0" w:color="000000"/>
          <w:right w:val="none" w:sz="0" w:space="0" w:color="000000"/>
        </w:pBdr>
        <w:spacing w:after="80" w:before="0" w:line="264"/>
        <w:ind w:left="280" w:right="0" w:firstLine="0" w:firstLineChars="0"/>
      </w:pPr>
      <w:r>
        <w:rPr>
          <w:rFonts w:ascii="Arial" w:hAnsi="Arial" w:eastAsia="Arial" w:cs="Arial"/>
          <w:i w:val="false"/>
          <w:b w:val="false"/>
          <w:u w:val="none"/>
          <w:strike w:val="false"/>
          <w:sz w:val="21"/>
          <w:szCs w:val="21"/>
          <w:color w:val="000000"/>
        </w:rPr>
        <w:t xml:space="preserve">2.  </w:t>
      </w:r>
      <w:r>
        <w:rPr>
          <w:rFonts w:ascii="Arial" w:hAnsi="Arial" w:eastAsia="Arial" w:cs="Arial"/>
          <w:i w:val="false"/>
          <w:b w:val="false"/>
          <w:u w:val="none"/>
          <w:strike w:val="false"/>
          <w:sz w:val="21"/>
          <w:szCs w:val="21"/>
          <w:color w:val="000000"/>
        </w:rPr>
        <w:t xml:space="preserve">Only one of the two study drugs filled on the index date.</w:t>
      </w:r>
    </w:p>
    <w:p>
      <w:pPr>
        <w:pStyle w:val="Normal"/>
        <w:jc w:val="left"/>
        <w:pBdr>
          <w:bottom w:val="none" w:sz="0" w:space="0" w:color="000000"/>
          <w:top w:val="none" w:sz="0" w:space="0" w:color="000000"/>
          <w:left w:val="none" w:sz="0" w:space="0" w:color="000000"/>
          <w:right w:val="none" w:sz="0" w:space="0" w:color="000000"/>
        </w:pBdr>
        <w:spacing w:after="80" w:before="0" w:line="264"/>
        <w:ind w:left="280" w:right="0" w:firstLine="0" w:firstLineChars="0"/>
      </w:pPr>
      <w:r>
        <w:rPr>
          <w:rFonts w:ascii="Arial" w:hAnsi="Arial" w:eastAsia="Arial" w:cs="Arial"/>
          <w:i w:val="false"/>
          <w:b w:val="false"/>
          <w:u w:val="none"/>
          <w:strike w:val="false"/>
          <w:sz w:val="21"/>
          <w:szCs w:val="21"/>
          <w:color w:val="000000"/>
        </w:rPr>
        <w:t xml:space="preserve">3.  </w:t>
      </w:r>
      <w:r>
        <w:rPr>
          <w:rFonts w:ascii="Arial" w:hAnsi="Arial" w:eastAsia="Arial" w:cs="Arial"/>
          <w:i w:val="false"/>
          <w:b w:val="false"/>
          <w:u w:val="none"/>
          <w:strike w:val="false"/>
          <w:sz w:val="21"/>
          <w:szCs w:val="21"/>
          <w:color w:val="000000"/>
        </w:rPr>
        <w:t xml:space="preserve">Age 18-64 at index (index year minus birth year); birth year recorded.</w:t>
      </w:r>
    </w:p>
    <w:p>
      <w:pPr>
        <w:pStyle w:val="Normal"/>
        <w:jc w:val="left"/>
        <w:pBdr>
          <w:bottom w:val="none" w:sz="0" w:space="0" w:color="000000"/>
          <w:top w:val="none" w:sz="0" w:space="0" w:color="000000"/>
          <w:left w:val="none" w:sz="0" w:space="0" w:color="000000"/>
          <w:right w:val="none" w:sz="0" w:space="0" w:color="000000"/>
        </w:pBdr>
        <w:spacing w:after="80" w:before="0" w:line="264"/>
        <w:ind w:left="280" w:right="0" w:firstLine="0" w:firstLineChars="0"/>
      </w:pPr>
      <w:r>
        <w:rPr>
          <w:rFonts w:ascii="Arial" w:hAnsi="Arial" w:eastAsia="Arial" w:cs="Arial"/>
          <w:i w:val="false"/>
          <w:b w:val="false"/>
          <w:u w:val="none"/>
          <w:strike w:val="false"/>
          <w:sz w:val="21"/>
          <w:szCs w:val="21"/>
          <w:color w:val="000000"/>
        </w:rPr>
        <w:t xml:space="preserve">4.  </w:t>
      </w:r>
      <w:r>
        <w:rPr>
          <w:rFonts w:ascii="Arial" w:hAnsi="Arial" w:eastAsia="Arial" w:cs="Arial"/>
          <w:i w:val="false"/>
          <w:b w:val="false"/>
          <w:u w:val="none"/>
          <w:strike w:val="false"/>
          <w:sz w:val="21"/>
          <w:szCs w:val="21"/>
          <w:color w:val="000000"/>
        </w:rPr>
        <w:t xml:space="preserve">Sex recorded as female or male, and no conflicting demographic records for the member ID.</w:t>
      </w:r>
    </w:p>
    <w:p>
      <w:pPr>
        <w:pStyle w:val="Normal"/>
        <w:jc w:val="left"/>
        <w:pBdr>
          <w:bottom w:val="none" w:sz="0" w:space="0" w:color="000000"/>
          <w:top w:val="none" w:sz="0" w:space="0" w:color="000000"/>
          <w:left w:val="none" w:sz="0" w:space="0" w:color="000000"/>
          <w:right w:val="none" w:sz="0" w:space="0" w:color="000000"/>
        </w:pBdr>
        <w:spacing w:after="80" w:before="0" w:line="264"/>
        <w:ind w:left="280" w:right="0" w:firstLine="0" w:firstLineChars="0"/>
      </w:pPr>
      <w:r>
        <w:rPr>
          <w:rFonts w:ascii="Arial" w:hAnsi="Arial" w:eastAsia="Arial" w:cs="Arial"/>
          <w:i w:val="false"/>
          <w:b w:val="false"/>
          <w:u w:val="none"/>
          <w:strike w:val="false"/>
          <w:sz w:val="21"/>
          <w:szCs w:val="21"/>
          <w:color w:val="000000"/>
        </w:rPr>
        <w:t xml:space="preserve">5.  </w:t>
      </w:r>
      <w:r>
        <w:rPr>
          <w:rFonts w:ascii="Arial" w:hAnsi="Arial" w:eastAsia="Arial" w:cs="Arial"/>
          <w:i w:val="false"/>
          <w:b w:val="false"/>
          <w:u w:val="none"/>
          <w:strike w:val="false"/>
          <w:sz w:val="21"/>
          <w:szCs w:val="21"/>
          <w:color w:val="000000"/>
        </w:rPr>
        <w:t xml:space="preserve">Continuous medical and pharmacy enrollment from index - 365 through index + 364. Overlapping segments are merged; gaps of 30 days or less are bridged; segments without pharmacy coverage do not count.</w:t>
      </w:r>
    </w:p>
    <w:p>
      <w:pPr>
        <w:pStyle w:val="Normal"/>
        <w:jc w:val="left"/>
        <w:pBdr>
          <w:bottom w:val="none" w:sz="0" w:space="0" w:color="000000"/>
          <w:top w:val="none" w:sz="0" w:space="0" w:color="000000"/>
          <w:left w:val="none" w:sz="0" w:space="0" w:color="000000"/>
          <w:right w:val="none" w:sz="0" w:space="0" w:color="000000"/>
        </w:pBdr>
        <w:spacing w:after="80" w:before="0" w:line="264"/>
        <w:ind w:left="280" w:right="0" w:firstLine="0" w:firstLineChars="0"/>
      </w:pPr>
      <w:r>
        <w:rPr>
          <w:rFonts w:ascii="Arial" w:hAnsi="Arial" w:eastAsia="Arial" w:cs="Arial"/>
          <w:i w:val="false"/>
          <w:b w:val="false"/>
          <w:u w:val="none"/>
          <w:strike w:val="false"/>
          <w:sz w:val="21"/>
          <w:szCs w:val="21"/>
          <w:color w:val="000000"/>
        </w:rPr>
        <w:t xml:space="preserve">6.  </w:t>
      </w:r>
      <w:r>
        <w:rPr>
          <w:rFonts w:ascii="Arial" w:hAnsi="Arial" w:eastAsia="Arial" w:cs="Arial"/>
          <w:i w:val="false"/>
          <w:b w:val="false"/>
          <w:u w:val="none"/>
          <w:strike w:val="false"/>
          <w:sz w:val="21"/>
          <w:szCs w:val="21"/>
          <w:color w:val="000000"/>
        </w:rPr>
        <w:t xml:space="preserve">New user: no fill of any GLP-1 RA (Zepbound, Wegovy, Mounjaro, Ozempic, Rybelsus, Saxenda) in the 365-day baseline.</w:t>
      </w:r>
    </w:p>
    <w:p>
      <w:pPr>
        <w:pStyle w:val="Normal"/>
        <w:jc w:val="left"/>
        <w:pBdr>
          <w:bottom w:val="none" w:sz="0" w:space="0" w:color="000000"/>
          <w:top w:val="none" w:sz="0" w:space="0" w:color="000000"/>
          <w:left w:val="none" w:sz="0" w:space="0" w:color="000000"/>
          <w:right w:val="none" w:sz="0" w:space="0" w:color="000000"/>
        </w:pBdr>
        <w:spacing w:after="80" w:before="0" w:line="264"/>
        <w:ind w:left="280" w:right="0" w:firstLine="0" w:firstLineChars="0"/>
      </w:pPr>
      <w:r>
        <w:rPr>
          <w:rFonts w:ascii="Arial" w:hAnsi="Arial" w:eastAsia="Arial" w:cs="Arial"/>
          <w:i w:val="false"/>
          <w:b w:val="false"/>
          <w:u w:val="none"/>
          <w:strike w:val="false"/>
          <w:sz w:val="21"/>
          <w:szCs w:val="21"/>
          <w:color w:val="000000"/>
        </w:rPr>
        <w:t xml:space="preserve">7.  </w:t>
      </w:r>
      <w:r>
        <w:rPr>
          <w:rFonts w:ascii="Arial" w:hAnsi="Arial" w:eastAsia="Arial" w:cs="Arial"/>
          <w:i w:val="false"/>
          <w:b w:val="false"/>
          <w:u w:val="none"/>
          <w:strike w:val="false"/>
          <w:sz w:val="21"/>
          <w:szCs w:val="21"/>
          <w:color w:val="000000"/>
        </w:rPr>
        <w:t xml:space="preserve">Obesity: at least one diagnosis of E66.x (excluding E66.3 overweight) or BMI code Z68.30-Z68.45 in baseline or on the index date.</w:t>
      </w:r>
    </w:p>
    <w:p>
      <w:pPr>
        <w:pStyle w:val="Normal"/>
        <w:jc w:val="left"/>
        <w:pBdr>
          <w:bottom w:val="none" w:sz="0" w:space="0" w:color="000000"/>
          <w:top w:val="none" w:sz="0" w:space="0" w:color="000000"/>
          <w:left w:val="none" w:sz="0" w:space="0" w:color="000000"/>
          <w:right w:val="none" w:sz="0" w:space="0" w:color="000000"/>
        </w:pBdr>
        <w:spacing w:after="80" w:before="0" w:line="264"/>
        <w:ind w:left="280" w:right="0" w:firstLine="0" w:firstLineChars="0"/>
      </w:pPr>
      <w:r>
        <w:rPr>
          <w:rFonts w:ascii="Arial" w:hAnsi="Arial" w:eastAsia="Arial" w:cs="Arial"/>
          <w:i w:val="false"/>
          <w:b w:val="false"/>
          <w:u w:val="none"/>
          <w:strike w:val="false"/>
          <w:sz w:val="21"/>
          <w:szCs w:val="21"/>
          <w:color w:val="000000"/>
        </w:rPr>
        <w:t xml:space="preserve">8.  </w:t>
      </w:r>
      <w:r>
        <w:rPr>
          <w:rFonts w:ascii="Arial" w:hAnsi="Arial" w:eastAsia="Arial" w:cs="Arial"/>
          <w:i w:val="false"/>
          <w:b w:val="false"/>
          <w:u w:val="none"/>
          <w:strike w:val="false"/>
          <w:sz w:val="21"/>
          <w:szCs w:val="21"/>
          <w:color w:val="000000"/>
        </w:rPr>
        <w:t xml:space="preserve">No diabetes: no E10.x or E11.x diagnosis and no fill of a non-metformin antidiabetic drug (SGLT2 inhibitor, sulfonylurea, insulin, DPP-4 inhibitor) in baseline. Metformin is allowed because it is often used for prediabetes or PCOS; metformin users are removed in a sensitivity analysis.</w:t>
      </w:r>
    </w:p>
    <w:p>
      <w:pPr>
        <w:pStyle w:val="Normal"/>
        <w:jc w:val="left"/>
        <w:pBdr>
          <w:bottom w:val="none" w:sz="0" w:space="0" w:color="000000"/>
          <w:top w:val="none" w:sz="0" w:space="0" w:color="000000"/>
          <w:left w:val="none" w:sz="0" w:space="0" w:color="000000"/>
          <w:right w:val="none" w:sz="0" w:space="0" w:color="000000"/>
        </w:pBdr>
        <w:spacing w:after="80" w:before="0" w:line="264"/>
        <w:ind w:left="280" w:right="0" w:firstLine="0" w:firstLineChars="0"/>
      </w:pPr>
      <w:r>
        <w:rPr>
          <w:rFonts w:ascii="Arial" w:hAnsi="Arial" w:eastAsia="Arial" w:cs="Arial"/>
          <w:i w:val="false"/>
          <w:b w:val="false"/>
          <w:u w:val="none"/>
          <w:strike w:val="false"/>
          <w:sz w:val="21"/>
          <w:szCs w:val="21"/>
          <w:color w:val="000000"/>
        </w:rPr>
        <w:t xml:space="preserve">9.  </w:t>
      </w:r>
      <w:r>
        <w:rPr>
          <w:rFonts w:ascii="Arial" w:hAnsi="Arial" w:eastAsia="Arial" w:cs="Arial"/>
          <w:i w:val="false"/>
          <w:b w:val="false"/>
          <w:u w:val="none"/>
          <w:strike w:val="false"/>
          <w:sz w:val="21"/>
          <w:szCs w:val="21"/>
          <w:color w:val="000000"/>
        </w:rPr>
        <w:t xml:space="preserve">No medullary thyroid carcinoma or MEN 2 code (C73, E31.22) in baseline (boxed-warning contraindication).</w:t>
      </w:r>
    </w:p>
    <w:p>
      <w:pPr>
        <w:pStyle w:val="Normal"/>
        <w:jc w:val="left"/>
        <w:pBdr>
          <w:bottom w:val="none" w:sz="0" w:space="0" w:color="000000"/>
          <w:top w:val="none" w:sz="0" w:space="0" w:color="000000"/>
          <w:left w:val="none" w:sz="0" w:space="0" w:color="000000"/>
          <w:right w:val="none" w:sz="0" w:space="0" w:color="000000"/>
        </w:pBdr>
        <w:spacing w:after="80" w:before="200" w:line="240"/>
        <w:ind w:left="0" w:right="0" w:firstLine="0" w:firstLineChars="0"/>
      </w:pPr>
      <w:r>
        <w:rPr>
          <w:rFonts w:ascii="Arial" w:hAnsi="Arial" w:eastAsia="Arial" w:cs="Arial"/>
          <w:i w:val="false"/>
          <w:b w:val="true"/>
          <w:u w:val="none"/>
          <w:strike w:val="false"/>
          <w:sz w:val="28"/>
          <w:szCs w:val="28"/>
          <w:color w:val="1F3864"/>
        </w:rPr>
        <w:t xml:space="preserve">5. Exposure</w:t>
      </w:r>
    </w:p>
    <w:p>
      <w:pPr>
        <w:pStyle w:val="Normal"/>
        <w:jc w:val="left"/>
        <w:pBdr>
          <w:bottom w:val="none" w:sz="0" w:space="0" w:color="000000"/>
          <w:top w:val="none" w:sz="0" w:space="0" w:color="000000"/>
          <w:left w:val="none" w:sz="0" w:space="0" w:color="000000"/>
          <w:right w:val="none" w:sz="0" w:space="0" w:color="000000"/>
        </w:pBdr>
        <w:spacing w:after="80" w:before="0" w:line="264"/>
        <w:ind w:left="0" w:right="0" w:firstLine="0" w:firstLineChars="0"/>
      </w:pPr>
      <w:r>
        <w:rPr>
          <w:rFonts w:ascii="Arial" w:hAnsi="Arial" w:eastAsia="Arial" w:cs="Arial"/>
          <w:i w:val="false"/>
          <w:b w:val="false"/>
          <w:u w:val="none"/>
          <w:strike w:val="false"/>
          <w:sz w:val="21"/>
          <w:szCs w:val="21"/>
          <w:color w:val="000000"/>
        </w:rPr>
        <w:t xml:space="preserve">Tirzepatide (Zepbound) initiators are the exposed group; semaglutide 2.4 mg (Wegovy) initiators are the comparator. Assignment is fixed at index (intention-to-treat analogue). NDCs are identified with the project NDC lookup after normalizing all NDCs to 11 digits.</w:t>
      </w:r>
    </w:p>
    <w:p>
      <w:pPr>
        <w:pStyle w:val="Normal"/>
        <w:jc w:val="left"/>
        <w:pBdr>
          <w:bottom w:val="none" w:sz="0" w:space="0" w:color="000000"/>
          <w:top w:val="none" w:sz="0" w:space="0" w:color="000000"/>
          <w:left w:val="none" w:sz="0" w:space="0" w:color="000000"/>
          <w:right w:val="none" w:sz="0" w:space="0" w:color="000000"/>
        </w:pBdr>
        <w:spacing w:after="80" w:before="200" w:line="240"/>
        <w:ind w:left="0" w:right="0" w:firstLine="0" w:firstLineChars="0"/>
      </w:pPr>
      <w:r>
        <w:rPr>
          <w:rFonts w:ascii="Arial" w:hAnsi="Arial" w:eastAsia="Arial" w:cs="Arial"/>
          <w:i w:val="false"/>
          <w:b w:val="true"/>
          <w:u w:val="none"/>
          <w:strike w:val="false"/>
          <w:sz w:val="28"/>
          <w:szCs w:val="28"/>
          <w:color w:val="1F3864"/>
        </w:rPr>
        <w:t xml:space="preserve">6. Outcomes (all over the 365-day follow-up)</w:t>
      </w:r>
    </w:p>
    <w:p>
      <w:pPr>
        <w:pStyle w:val="Normal"/>
        <w:jc w:val="left"/>
        <w:pBdr>
          <w:bottom w:val="none" w:sz="0" w:space="0" w:color="000000"/>
          <w:top w:val="none" w:sz="0" w:space="0" w:color="000000"/>
          <w:left w:val="none" w:sz="0" w:space="0" w:color="000000"/>
          <w:right w:val="none" w:sz="0" w:space="0" w:color="000000"/>
        </w:pBdr>
        <w:spacing w:after="80" w:before="120" w:line="240"/>
        <w:ind w:left="0" w:right="0" w:firstLine="0" w:firstLineChars="0"/>
      </w:pPr>
      <w:r>
        <w:rPr>
          <w:rFonts w:ascii="Arial" w:hAnsi="Arial" w:eastAsia="Arial" w:cs="Arial"/>
          <w:i w:val="false"/>
          <w:b w:val="true"/>
          <w:u w:val="none"/>
          <w:strike w:val="false"/>
          <w:sz w:val="24"/>
          <w:szCs w:val="24"/>
          <w:color w:val="2E5597"/>
        </w:rPr>
        <w:t xml:space="preserve">6.1 Primary outcome: persistence</w:t>
      </w:r>
    </w:p>
    <w:p>
      <w:pPr>
        <w:pStyle w:val="Normal"/>
        <w:jc w:val="left"/>
        <w:pBdr>
          <w:bottom w:val="none" w:sz="0" w:space="0" w:color="000000"/>
          <w:top w:val="none" w:sz="0" w:space="0" w:color="000000"/>
          <w:left w:val="none" w:sz="0" w:space="0" w:color="000000"/>
          <w:right w:val="none" w:sz="0" w:space="0" w:color="000000"/>
        </w:pBdr>
        <w:spacing w:after="80" w:before="0" w:line="264"/>
        <w:ind w:left="280" w:right="0" w:firstLine="0" w:firstLineChars="0"/>
      </w:pPr>
      <w:r>
        <w:rPr>
          <w:rFonts w:ascii="Arial" w:hAnsi="Arial" w:eastAsia="Arial" w:cs="Arial"/>
          <w:i w:val="false"/>
          <w:b w:val="false"/>
          <w:u w:val="none"/>
          <w:strike w:val="false"/>
          <w:sz w:val="21"/>
          <w:szCs w:val="21"/>
          <w:color w:val="000000"/>
        </w:rPr>
        <w:t xml:space="preserve">•  </w:t>
      </w:r>
      <w:r>
        <w:rPr>
          <w:rFonts w:ascii="Arial" w:hAnsi="Arial" w:eastAsia="Arial" w:cs="Arial"/>
          <w:i w:val="false"/>
          <w:b w:val="false"/>
          <w:u w:val="none"/>
          <w:strike w:val="false"/>
          <w:sz w:val="21"/>
          <w:szCs w:val="21"/>
          <w:color w:val="000000"/>
        </w:rPr>
        <w:t xml:space="preserve">Supply episodes are built from fills of the index molecule (tirzepatide: Zepbound or Mounjaro; semaglutide: Wegovy, Ozempic or Rybelsus). Early refills are carried forward: a new fill starts the day after the previous supply runs out.</w:t>
      </w:r>
    </w:p>
    <w:p>
      <w:pPr>
        <w:pStyle w:val="Normal"/>
        <w:jc w:val="left"/>
        <w:pBdr>
          <w:bottom w:val="none" w:sz="0" w:space="0" w:color="000000"/>
          <w:top w:val="none" w:sz="0" w:space="0" w:color="000000"/>
          <w:left w:val="none" w:sz="0" w:space="0" w:color="000000"/>
          <w:right w:val="none" w:sz="0" w:space="0" w:color="000000"/>
        </w:pBdr>
        <w:spacing w:after="80" w:before="0" w:line="264"/>
        <w:ind w:left="280" w:right="0" w:firstLine="0" w:firstLineChars="0"/>
      </w:pPr>
      <w:r>
        <w:rPr>
          <w:rFonts w:ascii="Arial" w:hAnsi="Arial" w:eastAsia="Arial" w:cs="Arial"/>
          <w:i w:val="false"/>
          <w:b w:val="false"/>
          <w:u w:val="none"/>
          <w:strike w:val="false"/>
          <w:sz w:val="21"/>
          <w:szCs w:val="21"/>
          <w:color w:val="000000"/>
        </w:rPr>
        <w:t xml:space="preserve">•  </w:t>
      </w:r>
      <w:r>
        <w:rPr>
          <w:rFonts w:ascii="Arial" w:hAnsi="Arial" w:eastAsia="Arial" w:cs="Arial"/>
          <w:i w:val="false"/>
          <w:b w:val="true"/>
          <w:u w:val="none"/>
          <w:strike w:val="false"/>
          <w:sz w:val="21"/>
          <w:szCs w:val="21"/>
          <w:color w:val="000000"/>
        </w:rPr>
        <w:t xml:space="preserve">Discontinuation</w:t>
      </w:r>
      <w:r>
        <w:rPr>
          <w:rFonts w:ascii="Arial" w:hAnsi="Arial" w:eastAsia="Arial" w:cs="Arial"/>
          <w:i w:val="false"/>
          <w:b w:val="false"/>
          <w:u w:val="none"/>
          <w:strike w:val="false"/>
          <w:sz w:val="21"/>
          <w:szCs w:val="21"/>
          <w:color w:val="000000"/>
        </w:rPr>
        <w:t xml:space="preserve"> = the first gap of more than 60 days between the end of one supply and the next fill, or between the end of the last supply and day 364. The discontinuation date is the first day without supply.</w:t>
      </w:r>
    </w:p>
    <w:p>
      <w:pPr>
        <w:pStyle w:val="Normal"/>
        <w:jc w:val="left"/>
        <w:pBdr>
          <w:bottom w:val="none" w:sz="0" w:space="0" w:color="000000"/>
          <w:top w:val="none" w:sz="0" w:space="0" w:color="000000"/>
          <w:left w:val="none" w:sz="0" w:space="0" w:color="000000"/>
          <w:right w:val="none" w:sz="0" w:space="0" w:color="000000"/>
        </w:pBdr>
        <w:spacing w:after="80" w:before="0" w:line="264"/>
        <w:ind w:left="280" w:right="0" w:firstLine="0" w:firstLineChars="0"/>
      </w:pPr>
      <w:r>
        <w:rPr>
          <w:rFonts w:ascii="Arial" w:hAnsi="Arial" w:eastAsia="Arial" w:cs="Arial"/>
          <w:i w:val="false"/>
          <w:b w:val="false"/>
          <w:u w:val="none"/>
          <w:strike w:val="false"/>
          <w:sz w:val="21"/>
          <w:szCs w:val="21"/>
          <w:color w:val="000000"/>
        </w:rPr>
        <w:t xml:space="preserve">•  </w:t>
      </w:r>
      <w:r>
        <w:rPr>
          <w:rFonts w:ascii="Arial" w:hAnsi="Arial" w:eastAsia="Arial" w:cs="Arial"/>
          <w:i w:val="false"/>
          <w:b w:val="true"/>
          <w:u w:val="none"/>
          <w:strike w:val="false"/>
          <w:sz w:val="21"/>
          <w:szCs w:val="21"/>
          <w:color w:val="000000"/>
        </w:rPr>
        <w:t xml:space="preserve">Persistence at 12 months</w:t>
      </w:r>
      <w:r>
        <w:rPr>
          <w:rFonts w:ascii="Arial" w:hAnsi="Arial" w:eastAsia="Arial" w:cs="Arial"/>
          <w:i w:val="false"/>
          <w:b w:val="false"/>
          <w:u w:val="none"/>
          <w:strike w:val="false"/>
          <w:sz w:val="21"/>
          <w:szCs w:val="21"/>
          <w:color w:val="000000"/>
        </w:rPr>
        <w:t xml:space="preserve"> (binary) = no discontinuation in follow-up.</w:t>
      </w:r>
    </w:p>
    <w:p>
      <w:pPr>
        <w:pStyle w:val="Normal"/>
        <w:jc w:val="left"/>
        <w:pBdr>
          <w:bottom w:val="none" w:sz="0" w:space="0" w:color="000000"/>
          <w:top w:val="none" w:sz="0" w:space="0" w:color="000000"/>
          <w:left w:val="none" w:sz="0" w:space="0" w:color="000000"/>
          <w:right w:val="none" w:sz="0" w:space="0" w:color="000000"/>
        </w:pBdr>
        <w:spacing w:after="80" w:before="0" w:line="264"/>
        <w:ind w:left="280" w:right="0" w:firstLine="0" w:firstLineChars="0"/>
      </w:pPr>
      <w:r>
        <w:rPr>
          <w:rFonts w:ascii="Arial" w:hAnsi="Arial" w:eastAsia="Arial" w:cs="Arial"/>
          <w:i w:val="false"/>
          <w:b w:val="false"/>
          <w:u w:val="none"/>
          <w:strike w:val="false"/>
          <w:sz w:val="21"/>
          <w:szCs w:val="21"/>
          <w:color w:val="000000"/>
        </w:rPr>
        <w:t xml:space="preserve">•  </w:t>
      </w:r>
      <w:r>
        <w:rPr>
          <w:rFonts w:ascii="Arial" w:hAnsi="Arial" w:eastAsia="Arial" w:cs="Arial"/>
          <w:i w:val="false"/>
          <w:b w:val="true"/>
          <w:u w:val="none"/>
          <w:strike w:val="false"/>
          <w:sz w:val="21"/>
          <w:szCs w:val="21"/>
          <w:color w:val="000000"/>
        </w:rPr>
        <w:t xml:space="preserve">Time to discontinuation</w:t>
      </w:r>
      <w:r>
        <w:rPr>
          <w:rFonts w:ascii="Arial" w:hAnsi="Arial" w:eastAsia="Arial" w:cs="Arial"/>
          <w:i w:val="false"/>
          <w:b w:val="false"/>
          <w:u w:val="none"/>
          <w:strike w:val="false"/>
          <w:sz w:val="21"/>
          <w:szCs w:val="21"/>
          <w:color w:val="000000"/>
        </w:rPr>
        <w:t xml:space="preserve"> (days); patients without discontinuation are censored at day 365. All patients have full 12-month enrollment, so there is no loss to follow-up.</w:t>
      </w:r>
    </w:p>
    <w:p>
      <w:pPr>
        <w:pStyle w:val="Normal"/>
        <w:jc w:val="left"/>
        <w:pBdr>
          <w:bottom w:val="none" w:sz="0" w:space="0" w:color="000000"/>
          <w:top w:val="none" w:sz="0" w:space="0" w:color="000000"/>
          <w:left w:val="none" w:sz="0" w:space="0" w:color="000000"/>
          <w:right w:val="none" w:sz="0" w:space="0" w:color="000000"/>
        </w:pBdr>
        <w:spacing w:after="80" w:before="0" w:line="264"/>
        <w:ind w:left="280" w:right="0" w:firstLine="0" w:firstLineChars="0"/>
      </w:pPr>
      <w:r>
        <w:rPr>
          <w:rFonts w:ascii="Arial" w:hAnsi="Arial" w:eastAsia="Arial" w:cs="Arial"/>
          <w:i w:val="false"/>
          <w:b w:val="false"/>
          <w:u w:val="none"/>
          <w:strike w:val="false"/>
          <w:sz w:val="21"/>
          <w:szCs w:val="21"/>
          <w:color w:val="000000"/>
        </w:rPr>
        <w:t xml:space="preserve">•  </w:t>
      </w:r>
      <w:r>
        <w:rPr>
          <w:rFonts w:ascii="Arial" w:hAnsi="Arial" w:eastAsia="Arial" w:cs="Arial"/>
          <w:i w:val="false"/>
          <w:b w:val="false"/>
          <w:u w:val="none"/>
          <w:strike w:val="false"/>
          <w:sz w:val="21"/>
          <w:szCs w:val="21"/>
          <w:color w:val="000000"/>
        </w:rPr>
        <w:t xml:space="preserve">Switching to the other molecule ends supply of the index molecule and therefore counts as discontinuation in the primary definition.</w:t>
      </w:r>
    </w:p>
    <w:p>
      <w:pPr>
        <w:pStyle w:val="Normal"/>
        <w:jc w:val="left"/>
        <w:pBdr>
          <w:bottom w:val="none" w:sz="0" w:space="0" w:color="000000"/>
          <w:top w:val="none" w:sz="0" w:space="0" w:color="000000"/>
          <w:left w:val="none" w:sz="0" w:space="0" w:color="000000"/>
          <w:right w:val="none" w:sz="0" w:space="0" w:color="000000"/>
        </w:pBdr>
        <w:spacing w:after="80" w:before="120" w:line="240"/>
        <w:ind w:left="0" w:right="0" w:firstLine="0" w:firstLineChars="0"/>
      </w:pPr>
      <w:r>
        <w:rPr>
          <w:rFonts w:ascii="Arial" w:hAnsi="Arial" w:eastAsia="Arial" w:cs="Arial"/>
          <w:i w:val="false"/>
          <w:b w:val="true"/>
          <w:u w:val="none"/>
          <w:strike w:val="false"/>
          <w:sz w:val="24"/>
          <w:szCs w:val="24"/>
          <w:color w:val="2E5597"/>
        </w:rPr>
        <w:t xml:space="preserve">6.2 Secondary outcomes</w:t>
      </w:r>
    </w:p>
    <w:tbl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E8EEF5"/>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7"/>
                <w:szCs w:val="17"/>
                <w:color w:val="000000"/>
              </w:rPr>
            </w:pPr>
            <w:r>
              <w:rPr>
                <w:rFonts w:ascii="Arial" w:hAnsi="Arial" w:eastAsia="Arial" w:cs="Arial"/>
                <w:i w:val="false"/>
                <w:b w:val="true"/>
                <w:u w:val="none"/>
                <w:strike w:val="false"/>
                <w:sz w:val="17"/>
                <w:szCs w:val="17"/>
                <w:color w:val="000000"/>
              </w:rPr>
              <w:t xml:space="preserve">Outcome</w:t>
            </w:r>
          </w:p>
        </w:tc>
        <w:tc>
          <w:tcPr>
            <w:tcBorders>
              <w:bottom w:val="single" w:sz="12" w:space="0" w:color="666666"/>
              <w:top w:val="single" w:sz="12" w:space="0" w:color="666666"/>
              <w:left w:val="none" w:sz="0" w:space="0" w:color="000000"/>
              <w:right w:val="none" w:sz="0" w:space="0" w:color="000000"/>
            </w:tcBorders>
            <w:shd w:val="clear" w:color="auto" w:fill="E8EEF5"/>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7"/>
                <w:szCs w:val="17"/>
                <w:color w:val="000000"/>
              </w:rPr>
            </w:pPr>
            <w:r>
              <w:rPr>
                <w:rFonts w:ascii="Arial" w:hAnsi="Arial" w:eastAsia="Arial" w:cs="Arial"/>
                <w:i w:val="false"/>
                <w:b w:val="true"/>
                <w:u w:val="none"/>
                <w:strike w:val="false"/>
                <w:sz w:val="17"/>
                <w:szCs w:val="17"/>
                <w:color w:val="000000"/>
              </w:rPr>
              <w:t xml:space="preserve">Definition</w:t>
            </w:r>
          </w:p>
        </w:tc>
      </w:tr>
      <w:tr>
        <w:trPr>
          <w:trHeight w:val="360"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PDC</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Days covered by the index molecule in days 0-364 divided by 365 (carry-over of early refills, capped at day 364)</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Adherent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PDC &gt;= 0.80</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Switching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Any fill of the other molecule in follow-up</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Any inpatient admission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Institutional claim with an admission date in follow-up</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Any ED visit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ED facility claim (place of service 23 or revenue code 0450) or ED E/M code 99281-99285; one visit per day</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Outpatient visits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Professional E/M office, telehealth or preventive visit (99202-99215, 99381-99397, G0438) at place of service 02, 10, 11, 19 or 22; one visit per day</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Obesity-related outpatient visits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Outpatient visits with an E66 or Z68 diagnosis on the claim</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Medical cost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Sum of allowed amounts on medical claims (adjustment lines netted within claim; claim totals floored at $0)</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Pharmacy cost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Sum of allowed amounts on all paid pharmacy claims (all drugs, including the study drug)</w:t>
            </w:r>
          </w:p>
        </w:tc>
      </w:tr>
      <w:tr>
        <w:trPr>
          <w:trHeight w:val="360" w:hRule="auto"/>
        </w:trPr>
        body10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Total cost</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Medical + pharmacy</w:t>
            </w:r>
          </w:p>
        </w:tc>
      </w:tr>
    </w:tbl>
    <w:p>
      <w:pPr>
        <w:pStyle w:val="Normal"/>
      </w:pPr>
      <w:r>
        <w:t xml:space="preserve"/>
      </w:r>
    </w:p>
    <w:p>
      <w:pPr>
        <w:pStyle w:val="Normal"/>
        <w:jc w:val="left"/>
        <w:pBdr>
          <w:bottom w:val="none" w:sz="0" w:space="0" w:color="000000"/>
          <w:top w:val="none" w:sz="0" w:space="0" w:color="000000"/>
          <w:left w:val="none" w:sz="0" w:space="0" w:color="000000"/>
          <w:right w:val="none" w:sz="0" w:space="0" w:color="000000"/>
        </w:pBdr>
        <w:spacing w:after="80" w:before="120" w:line="240"/>
        <w:ind w:left="0" w:right="0" w:firstLine="0" w:firstLineChars="0"/>
      </w:pPr>
      <w:r>
        <w:rPr>
          <w:rFonts w:ascii="Arial" w:hAnsi="Arial" w:eastAsia="Arial" w:cs="Arial"/>
          <w:i w:val="false"/>
          <w:b w:val="true"/>
          <w:u w:val="none"/>
          <w:strike w:val="false"/>
          <w:sz w:val="24"/>
          <w:szCs w:val="24"/>
          <w:color w:val="2E5597"/>
        </w:rPr>
        <w:t xml:space="preserve">6.3 Negative control outcome</w:t>
      </w:r>
    </w:p>
    <w:p>
      <w:pPr>
        <w:pStyle w:val="Normal"/>
        <w:jc w:val="left"/>
        <w:pBdr>
          <w:bottom w:val="none" w:sz="0" w:space="0" w:color="000000"/>
          <w:top w:val="none" w:sz="0" w:space="0" w:color="000000"/>
          <w:left w:val="none" w:sz="0" w:space="0" w:color="000000"/>
          <w:right w:val="none" w:sz="0" w:space="0" w:color="000000"/>
        </w:pBdr>
        <w:spacing w:after="80" w:before="0" w:line="264"/>
        <w:ind w:left="0" w:right="0" w:firstLine="0" w:firstLineChars="0"/>
      </w:pPr>
      <w:r>
        <w:rPr>
          <w:rFonts w:ascii="Arial" w:hAnsi="Arial" w:eastAsia="Arial" w:cs="Arial"/>
          <w:i w:val="false"/>
          <w:b w:val="false"/>
          <w:u w:val="none"/>
          <w:strike w:val="false"/>
          <w:sz w:val="21"/>
          <w:szCs w:val="21"/>
          <w:color w:val="000000"/>
        </w:rPr>
        <w:t xml:space="preserve">Any routine cancer screening (colonoscopy 45378 or screening mammogram 77067) in follow-up. It shares healthcare-seeking confounders with the main outcomes but should not be affected by the choice between the two drugs; a non-null weighted association would suggest residual confounding.</w:t>
      </w:r>
    </w:p>
    <w:p>
      <w:pPr>
        <w:pStyle w:val="Normal"/>
        <w:jc w:val="left"/>
        <w:pBdr>
          <w:bottom w:val="none" w:sz="0" w:space="0" w:color="000000"/>
          <w:top w:val="none" w:sz="0" w:space="0" w:color="000000"/>
          <w:left w:val="none" w:sz="0" w:space="0" w:color="000000"/>
          <w:right w:val="none" w:sz="0" w:space="0" w:color="000000"/>
        </w:pBdr>
        <w:spacing w:after="80" w:before="200" w:line="240"/>
        <w:ind w:left="0" w:right="0" w:firstLine="0" w:firstLineChars="0"/>
      </w:pPr>
      <w:r>
        <w:rPr>
          <w:rFonts w:ascii="Arial" w:hAnsi="Arial" w:eastAsia="Arial" w:cs="Arial"/>
          <w:i w:val="false"/>
          <w:b w:val="true"/>
          <w:u w:val="none"/>
          <w:strike w:val="false"/>
          <w:sz w:val="28"/>
          <w:szCs w:val="28"/>
          <w:color w:val="1F3864"/>
        </w:rPr>
        <w:t xml:space="preserve">7. Covariates</w:t>
      </w:r>
    </w:p>
    <w:p>
      <w:pPr>
        <w:pStyle w:val="Normal"/>
        <w:jc w:val="left"/>
        <w:pBdr>
          <w:bottom w:val="none" w:sz="0" w:space="0" w:color="000000"/>
          <w:top w:val="none" w:sz="0" w:space="0" w:color="000000"/>
          <w:left w:val="none" w:sz="0" w:space="0" w:color="000000"/>
          <w:right w:val="none" w:sz="0" w:space="0" w:color="000000"/>
        </w:pBdr>
        <w:spacing w:after="80" w:before="0" w:line="264"/>
        <w:ind w:left="0" w:right="0" w:firstLine="0" w:firstLineChars="0"/>
      </w:pPr>
      <w:r>
        <w:rPr>
          <w:rFonts w:ascii="Arial" w:hAnsi="Arial" w:eastAsia="Arial" w:cs="Arial"/>
          <w:i w:val="false"/>
          <w:b w:val="false"/>
          <w:u w:val="none"/>
          <w:strike w:val="false"/>
          <w:sz w:val="21"/>
          <w:szCs w:val="21"/>
          <w:color w:val="000000"/>
        </w:rPr>
        <w:t xml:space="preserve">The adjustment set was chosen from the directed acyclic graph (separate DAG document) as variables that plausibly affect both drug choice and the outcomes, measured before or on the index date. Mediators (for example, gastrointestinal adverse events, weight loss, dose escalation, the out-of-pocket cost of the index fill) and post-index variables are not adjusted for.</w:t>
      </w:r>
    </w:p>
    <w:tbl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E8EEF5"/>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7"/>
                <w:szCs w:val="17"/>
                <w:color w:val="000000"/>
              </w:rPr>
            </w:pPr>
            <w:r>
              <w:rPr>
                <w:rFonts w:ascii="Arial" w:hAnsi="Arial" w:eastAsia="Arial" w:cs="Arial"/>
                <w:i w:val="false"/>
                <w:b w:val="true"/>
                <w:u w:val="none"/>
                <w:strike w:val="false"/>
                <w:sz w:val="17"/>
                <w:szCs w:val="17"/>
                <w:color w:val="000000"/>
              </w:rPr>
              <w:t xml:space="preserve">Domain</w:t>
            </w:r>
          </w:p>
        </w:tc>
        <w:tc>
          <w:tcPr>
            <w:tcBorders>
              <w:bottom w:val="single" w:sz="12" w:space="0" w:color="666666"/>
              <w:top w:val="single" w:sz="12" w:space="0" w:color="666666"/>
              <w:left w:val="none" w:sz="0" w:space="0" w:color="000000"/>
              <w:right w:val="none" w:sz="0" w:space="0" w:color="000000"/>
            </w:tcBorders>
            <w:shd w:val="clear" w:color="auto" w:fill="E8EEF5"/>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7"/>
                <w:szCs w:val="17"/>
                <w:color w:val="000000"/>
              </w:rPr>
            </w:pPr>
            <w:r>
              <w:rPr>
                <w:rFonts w:ascii="Arial" w:hAnsi="Arial" w:eastAsia="Arial" w:cs="Arial"/>
                <w:i w:val="false"/>
                <w:b w:val="true"/>
                <w:u w:val="none"/>
                <w:strike w:val="false"/>
                <w:sz w:val="17"/>
                <w:szCs w:val="17"/>
                <w:color w:val="000000"/>
              </w:rPr>
              <w:t xml:space="preserve">Covariates (baseline unless noted)</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Demographics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Age (continuous), sex, census region (including Unknown)</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Benefit design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Plan type at index (PPO, HMO, POS, EPO, CDHP)</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Calendar time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Index quarter (2024Q1-2025Q2): supply shortages, coverage changes, new indications (Wegovy cardiovascular indication March 2024; Zepbound sleep apnea indication December 2024)</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Obesity severity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Obesity class from the most recent BMI/class code (Class 1, 2, 3, Unknown)</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Comorbidities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Hypertension, dyslipidemia, obstructive sleep apnea, prediabetes, MASLD/NASH, osteoarthritis, depression, anxiety, GERD, ASCVD, heart failure, CKD, PCOS, hypothyroidism, gallbladder disease, pancreatitis</w:t>
            </w:r>
          </w:p>
        </w:tc>
      </w:tr>
      <w:tr>
        <w:trPr>
          <w:trHeight w:val="360"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Medications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Prior other anti-obesity medication (phentermine, naltrexone-bupropion), metformin, antihypertensives, statins, antidepressants, number of distinct generic drugs</w:t>
            </w:r>
          </w:p>
        </w:tc>
      </w:tr>
      <w:tr>
        <w:trPr>
          <w:trHeight w:val="360" w:hRule="auto"/>
        </w:trPr>
        body7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Healthcare use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Prior bariatric surgery, endocrinologist visit, any inpatient admission, any ED visit, number of outpatient visits, log(1 + total baseline allowed cost)</w:t>
            </w:r>
          </w:p>
        </w:tc>
      </w:tr>
    </w:tbl>
    <w:p>
      <w:pPr>
        <w:pStyle w:val="Normal"/>
      </w:pPr>
      <w:r>
        <w:t xml:space="preserve"/>
      </w:r>
    </w:p>
    <w:p>
      <w:pPr>
        <w:pStyle w:val="Normal"/>
        <w:jc w:val="left"/>
        <w:pBdr>
          <w:bottom w:val="none" w:sz="0" w:space="0" w:color="000000"/>
          <w:top w:val="none" w:sz="0" w:space="0" w:color="000000"/>
          <w:left w:val="none" w:sz="0" w:space="0" w:color="000000"/>
          <w:right w:val="none" w:sz="0" w:space="0" w:color="000000"/>
        </w:pBdr>
        <w:spacing w:after="80" w:before="200" w:line="240"/>
        <w:ind w:left="0" w:right="0" w:firstLine="0" w:firstLineChars="0"/>
      </w:pPr>
      <w:r>
        <w:rPr>
          <w:rFonts w:ascii="Arial" w:hAnsi="Arial" w:eastAsia="Arial" w:cs="Arial"/>
          <w:i w:val="false"/>
          <w:b w:val="true"/>
          <w:u w:val="none"/>
          <w:strike w:val="false"/>
          <w:sz w:val="28"/>
          <w:szCs w:val="28"/>
          <w:color w:val="1F3864"/>
        </w:rPr>
        <w:t xml:space="preserve">8. Statistical analysis</w:t>
      </w:r>
    </w:p>
    <w:p>
      <w:pPr>
        <w:pStyle w:val="Normal"/>
        <w:jc w:val="left"/>
        <w:pBdr>
          <w:bottom w:val="none" w:sz="0" w:space="0" w:color="000000"/>
          <w:top w:val="none" w:sz="0" w:space="0" w:color="000000"/>
          <w:left w:val="none" w:sz="0" w:space="0" w:color="000000"/>
          <w:right w:val="none" w:sz="0" w:space="0" w:color="000000"/>
        </w:pBdr>
        <w:spacing w:after="80" w:before="120" w:line="240"/>
        <w:ind w:left="0" w:right="0" w:firstLine="0" w:firstLineChars="0"/>
      </w:pPr>
      <w:r>
        <w:rPr>
          <w:rFonts w:ascii="Arial" w:hAnsi="Arial" w:eastAsia="Arial" w:cs="Arial"/>
          <w:i w:val="false"/>
          <w:b w:val="true"/>
          <w:u w:val="none"/>
          <w:strike w:val="false"/>
          <w:sz w:val="24"/>
          <w:szCs w:val="24"/>
          <w:color w:val="2E5597"/>
        </w:rPr>
        <w:t xml:space="preserve">8.1 Descriptive analysis (Table 1)</w:t>
      </w:r>
    </w:p>
    <w:p>
      <w:pPr>
        <w:pStyle w:val="Normal"/>
        <w:jc w:val="left"/>
        <w:pBdr>
          <w:bottom w:val="none" w:sz="0" w:space="0" w:color="000000"/>
          <w:top w:val="none" w:sz="0" w:space="0" w:color="000000"/>
          <w:left w:val="none" w:sz="0" w:space="0" w:color="000000"/>
          <w:right w:val="none" w:sz="0" w:space="0" w:color="000000"/>
        </w:pBdr>
        <w:spacing w:after="80" w:before="0" w:line="264"/>
        <w:ind w:left="0" w:right="0" w:firstLine="0" w:firstLineChars="0"/>
      </w:pPr>
      <w:r>
        <w:rPr>
          <w:rFonts w:ascii="Arial" w:hAnsi="Arial" w:eastAsia="Arial" w:cs="Arial"/>
          <w:i w:val="false"/>
          <w:b w:val="false"/>
          <w:u w:val="none"/>
          <w:strike w:val="false"/>
          <w:sz w:val="21"/>
          <w:szCs w:val="21"/>
          <w:color w:val="000000"/>
        </w:rPr>
        <w:t xml:space="preserve">Baseline characteristics by group: means (SD) or medians (IQR) for continuous variables, n (%) for categorical variables, with absolute standardized mean differences (SMD) before and after weighting. Cost distributions are inspected for skewness and outliers.</w:t>
      </w:r>
    </w:p>
    <w:p>
      <w:pPr>
        <w:pStyle w:val="Normal"/>
        <w:jc w:val="left"/>
        <w:pBdr>
          <w:bottom w:val="none" w:sz="0" w:space="0" w:color="000000"/>
          <w:top w:val="none" w:sz="0" w:space="0" w:color="000000"/>
          <w:left w:val="none" w:sz="0" w:space="0" w:color="000000"/>
          <w:right w:val="none" w:sz="0" w:space="0" w:color="000000"/>
        </w:pBdr>
        <w:spacing w:after="80" w:before="120" w:line="240"/>
        <w:ind w:left="0" w:right="0" w:firstLine="0" w:firstLineChars="0"/>
      </w:pPr>
      <w:r>
        <w:rPr>
          <w:rFonts w:ascii="Arial" w:hAnsi="Arial" w:eastAsia="Arial" w:cs="Arial"/>
          <w:i w:val="false"/>
          <w:b w:val="true"/>
          <w:u w:val="none"/>
          <w:strike w:val="false"/>
          <w:sz w:val="24"/>
          <w:szCs w:val="24"/>
          <w:color w:val="2E5597"/>
        </w:rPr>
        <w:t xml:space="preserve">8.2 Confounding adjustment</w:t>
      </w:r>
    </w:p>
    <w:p>
      <w:pPr>
        <w:pStyle w:val="Normal"/>
        <w:jc w:val="left"/>
        <w:pBdr>
          <w:bottom w:val="none" w:sz="0" w:space="0" w:color="000000"/>
          <w:top w:val="none" w:sz="0" w:space="0" w:color="000000"/>
          <w:left w:val="none" w:sz="0" w:space="0" w:color="000000"/>
          <w:right w:val="none" w:sz="0" w:space="0" w:color="000000"/>
        </w:pBdr>
        <w:spacing w:after="80" w:before="0" w:line="264"/>
        <w:ind w:left="280" w:right="0" w:firstLine="0" w:firstLineChars="0"/>
      </w:pPr>
      <w:r>
        <w:rPr>
          <w:rFonts w:ascii="Arial" w:hAnsi="Arial" w:eastAsia="Arial" w:cs="Arial"/>
          <w:i w:val="false"/>
          <w:b w:val="false"/>
          <w:u w:val="none"/>
          <w:strike w:val="false"/>
          <w:sz w:val="21"/>
          <w:szCs w:val="21"/>
          <w:color w:val="000000"/>
        </w:rPr>
        <w:t xml:space="preserve">•  </w:t>
      </w:r>
      <w:r>
        <w:rPr>
          <w:rFonts w:ascii="Arial" w:hAnsi="Arial" w:eastAsia="Arial" w:cs="Arial"/>
          <w:i w:val="false"/>
          <w:b w:val="true"/>
          <w:u w:val="none"/>
          <w:strike w:val="false"/>
          <w:sz w:val="21"/>
          <w:szCs w:val="21"/>
          <w:color w:val="000000"/>
        </w:rPr>
        <w:t xml:space="preserve">Propensity score (PS):</w:t>
      </w:r>
      <w:r>
        <w:rPr>
          <w:rFonts w:ascii="Arial" w:hAnsi="Arial" w:eastAsia="Arial" w:cs="Arial"/>
          <w:i w:val="false"/>
          <w:b w:val="false"/>
          <w:u w:val="none"/>
          <w:strike w:val="false"/>
          <w:sz w:val="21"/>
          <w:szCs w:val="21"/>
          <w:color w:val="000000"/>
        </w:rPr>
        <w:t xml:space="preserve"> logistic regression of tirzepatide initiation on all covariates in Section 7 (main effects; age and log baseline cost as continuous terms).</w:t>
      </w:r>
    </w:p>
    <w:p>
      <w:pPr>
        <w:pStyle w:val="Normal"/>
        <w:jc w:val="left"/>
        <w:pBdr>
          <w:bottom w:val="none" w:sz="0" w:space="0" w:color="000000"/>
          <w:top w:val="none" w:sz="0" w:space="0" w:color="000000"/>
          <w:left w:val="none" w:sz="0" w:space="0" w:color="000000"/>
          <w:right w:val="none" w:sz="0" w:space="0" w:color="000000"/>
        </w:pBdr>
        <w:spacing w:after="80" w:before="0" w:line="264"/>
        <w:ind w:left="280" w:right="0" w:firstLine="0" w:firstLineChars="0"/>
      </w:pPr>
      <w:r>
        <w:rPr>
          <w:rFonts w:ascii="Arial" w:hAnsi="Arial" w:eastAsia="Arial" w:cs="Arial"/>
          <w:i w:val="false"/>
          <w:b w:val="false"/>
          <w:u w:val="none"/>
          <w:strike w:val="false"/>
          <w:sz w:val="21"/>
          <w:szCs w:val="21"/>
          <w:color w:val="000000"/>
        </w:rPr>
        <w:t xml:space="preserve">•  </w:t>
      </w:r>
      <w:r>
        <w:rPr>
          <w:rFonts w:ascii="Arial" w:hAnsi="Arial" w:eastAsia="Arial" w:cs="Arial"/>
          <w:i w:val="false"/>
          <w:b w:val="true"/>
          <w:u w:val="none"/>
          <w:strike w:val="false"/>
          <w:sz w:val="21"/>
          <w:szCs w:val="21"/>
          <w:color w:val="000000"/>
        </w:rPr>
        <w:t xml:space="preserve">Weights:</w:t>
      </w:r>
      <w:r>
        <w:rPr>
          <w:rFonts w:ascii="Arial" w:hAnsi="Arial" w:eastAsia="Arial" w:cs="Arial"/>
          <w:i w:val="false"/>
          <w:b w:val="false"/>
          <w:u w:val="none"/>
          <w:strike w:val="false"/>
          <w:sz w:val="21"/>
          <w:szCs w:val="21"/>
          <w:color w:val="000000"/>
        </w:rPr>
        <w:t xml:space="preserve"> stabilized inverse probability of treatment weights for the average treatment effect (ATE) in the population of initiators (WeightIt).</w:t>
      </w:r>
    </w:p>
    <w:p>
      <w:pPr>
        <w:pStyle w:val="Normal"/>
        <w:jc w:val="left"/>
        <w:pBdr>
          <w:bottom w:val="none" w:sz="0" w:space="0" w:color="000000"/>
          <w:top w:val="none" w:sz="0" w:space="0" w:color="000000"/>
          <w:left w:val="none" w:sz="0" w:space="0" w:color="000000"/>
          <w:right w:val="none" w:sz="0" w:space="0" w:color="000000"/>
        </w:pBdr>
        <w:spacing w:after="80" w:before="0" w:line="264"/>
        <w:ind w:left="280" w:right="0" w:firstLine="0" w:firstLineChars="0"/>
      </w:pPr>
      <w:r>
        <w:rPr>
          <w:rFonts w:ascii="Arial" w:hAnsi="Arial" w:eastAsia="Arial" w:cs="Arial"/>
          <w:i w:val="false"/>
          <w:b w:val="false"/>
          <w:u w:val="none"/>
          <w:strike w:val="false"/>
          <w:sz w:val="21"/>
          <w:szCs w:val="21"/>
          <w:color w:val="000000"/>
        </w:rPr>
        <w:t xml:space="preserve">•  </w:t>
      </w:r>
      <w:r>
        <w:rPr>
          <w:rFonts w:ascii="Arial" w:hAnsi="Arial" w:eastAsia="Arial" w:cs="Arial"/>
          <w:i w:val="false"/>
          <w:b w:val="true"/>
          <w:u w:val="none"/>
          <w:strike w:val="false"/>
          <w:sz w:val="21"/>
          <w:szCs w:val="21"/>
          <w:color w:val="000000"/>
        </w:rPr>
        <w:t xml:space="preserve">Balance:</w:t>
      </w:r>
      <w:r>
        <w:rPr>
          <w:rFonts w:ascii="Arial" w:hAnsi="Arial" w:eastAsia="Arial" w:cs="Arial"/>
          <w:i w:val="false"/>
          <w:b w:val="false"/>
          <w:u w:val="none"/>
          <w:strike w:val="false"/>
          <w:sz w:val="21"/>
          <w:szCs w:val="21"/>
          <w:color w:val="000000"/>
        </w:rPr>
        <w:t xml:space="preserve"> absolute SMD &lt; 0.10 for every covariate after weighting (cobalt); variance ratios 0.5-2 for continuous covariates. If balance is not achieved, add squared or interaction terms for the imbalanced covariates (documented as a deviation).</w:t>
      </w:r>
    </w:p>
    <w:p>
      <w:pPr>
        <w:pStyle w:val="Normal"/>
        <w:jc w:val="left"/>
        <w:pBdr>
          <w:bottom w:val="none" w:sz="0" w:space="0" w:color="000000"/>
          <w:top w:val="none" w:sz="0" w:space="0" w:color="000000"/>
          <w:left w:val="none" w:sz="0" w:space="0" w:color="000000"/>
          <w:right w:val="none" w:sz="0" w:space="0" w:color="000000"/>
        </w:pBdr>
        <w:spacing w:after="80" w:before="0" w:line="264"/>
        <w:ind w:left="280" w:right="0" w:firstLine="0" w:firstLineChars="0"/>
      </w:pPr>
      <w:r>
        <w:rPr>
          <w:rFonts w:ascii="Arial" w:hAnsi="Arial" w:eastAsia="Arial" w:cs="Arial"/>
          <w:i w:val="false"/>
          <w:b w:val="false"/>
          <w:u w:val="none"/>
          <w:strike w:val="false"/>
          <w:sz w:val="21"/>
          <w:szCs w:val="21"/>
          <w:color w:val="000000"/>
        </w:rPr>
        <w:t xml:space="preserve">•  </w:t>
      </w:r>
      <w:r>
        <w:rPr>
          <w:rFonts w:ascii="Arial" w:hAnsi="Arial" w:eastAsia="Arial" w:cs="Arial"/>
          <w:i w:val="false"/>
          <w:b w:val="true"/>
          <w:u w:val="none"/>
          <w:strike w:val="false"/>
          <w:sz w:val="21"/>
          <w:szCs w:val="21"/>
          <w:color w:val="000000"/>
        </w:rPr>
        <w:t xml:space="preserve">Positivity:</w:t>
      </w:r>
      <w:r>
        <w:rPr>
          <w:rFonts w:ascii="Arial" w:hAnsi="Arial" w:eastAsia="Arial" w:cs="Arial"/>
          <w:i w:val="false"/>
          <w:b w:val="false"/>
          <w:u w:val="none"/>
          <w:strike w:val="false"/>
          <w:sz w:val="21"/>
          <w:szCs w:val="21"/>
          <w:color w:val="000000"/>
        </w:rPr>
        <w:t xml:space="preserve"> inspect PS overlap and the weight distribution; report the effective sample size. Weights are not trimmed in the primary analysis.</w:t>
      </w:r>
    </w:p>
    <w:p>
      <w:pPr>
        <w:pStyle w:val="Normal"/>
        <w:jc w:val="left"/>
        <w:pBdr>
          <w:bottom w:val="none" w:sz="0" w:space="0" w:color="000000"/>
          <w:top w:val="none" w:sz="0" w:space="0" w:color="000000"/>
          <w:left w:val="none" w:sz="0" w:space="0" w:color="000000"/>
          <w:right w:val="none" w:sz="0" w:space="0" w:color="000000"/>
        </w:pBdr>
        <w:spacing w:after="80" w:before="120" w:line="240"/>
        <w:ind w:left="0" w:right="0" w:firstLine="0" w:firstLineChars="0"/>
      </w:pPr>
      <w:r>
        <w:rPr>
          <w:rFonts w:ascii="Arial" w:hAnsi="Arial" w:eastAsia="Arial" w:cs="Arial"/>
          <w:i w:val="false"/>
          <w:b w:val="true"/>
          <w:u w:val="none"/>
          <w:strike w:val="false"/>
          <w:sz w:val="24"/>
          <w:szCs w:val="24"/>
          <w:color w:val="2E5597"/>
        </w:rPr>
        <w:t xml:space="preserve">8.3 Outcome models (weighted; robust sandwich variance)</w:t>
      </w:r>
    </w:p>
    <w:tbl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E8EEF5"/>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7"/>
                <w:szCs w:val="17"/>
                <w:color w:val="000000"/>
              </w:rPr>
            </w:pPr>
            <w:r>
              <w:rPr>
                <w:rFonts w:ascii="Arial" w:hAnsi="Arial" w:eastAsia="Arial" w:cs="Arial"/>
                <w:i w:val="false"/>
                <w:b w:val="true"/>
                <w:u w:val="none"/>
                <w:strike w:val="false"/>
                <w:sz w:val="17"/>
                <w:szCs w:val="17"/>
                <w:color w:val="000000"/>
              </w:rPr>
              <w:t xml:space="preserve">Outcome</w:t>
            </w:r>
          </w:p>
        </w:tc>
        <w:tc>
          <w:tcPr>
            <w:tcBorders>
              <w:bottom w:val="single" w:sz="12" w:space="0" w:color="666666"/>
              <w:top w:val="single" w:sz="12" w:space="0" w:color="666666"/>
              <w:left w:val="none" w:sz="0" w:space="0" w:color="000000"/>
              <w:right w:val="none" w:sz="0" w:space="0" w:color="000000"/>
            </w:tcBorders>
            <w:shd w:val="clear" w:color="auto" w:fill="E8EEF5"/>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7"/>
                <w:szCs w:val="17"/>
                <w:color w:val="000000"/>
              </w:rPr>
            </w:pPr>
            <w:r>
              <w:rPr>
                <w:rFonts w:ascii="Arial" w:hAnsi="Arial" w:eastAsia="Arial" w:cs="Arial"/>
                <w:i w:val="false"/>
                <w:b w:val="true"/>
                <w:u w:val="none"/>
                <w:strike w:val="false"/>
                <w:sz w:val="17"/>
                <w:szCs w:val="17"/>
                <w:color w:val="000000"/>
              </w:rPr>
              <w:t xml:space="preserve">Model</w:t>
            </w:r>
          </w:p>
        </w:tc>
        <w:tc>
          <w:tcPr>
            <w:tcBorders>
              <w:bottom w:val="single" w:sz="12" w:space="0" w:color="666666"/>
              <w:top w:val="single" w:sz="12" w:space="0" w:color="666666"/>
              <w:left w:val="none" w:sz="0" w:space="0" w:color="000000"/>
              <w:right w:val="none" w:sz="0" w:space="0" w:color="000000"/>
            </w:tcBorders>
            <w:shd w:val="clear" w:color="auto" w:fill="E8EEF5"/>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7"/>
                <w:szCs w:val="17"/>
                <w:color w:val="000000"/>
              </w:rPr>
            </w:pPr>
            <w:r>
              <w:rPr>
                <w:rFonts w:ascii="Arial" w:hAnsi="Arial" w:eastAsia="Arial" w:cs="Arial"/>
                <w:i w:val="false"/>
                <w:b w:val="true"/>
                <w:u w:val="none"/>
                <w:strike w:val="false"/>
                <w:sz w:val="17"/>
                <w:szCs w:val="17"/>
                <w:color w:val="000000"/>
              </w:rPr>
              <w:t xml:space="preserve">Effect measure</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Persistence at 12 months (primary)</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Weighted linear probability model and weighted log-binomial (Poisson with log link)</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Risk difference (RD) and risk ratio (RR), 95% CI</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Time to discontinuation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Weighted Kaplan-Meier curves; weighted Cox model with robust variance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Hazard ratio (HR); weighted 12-month restricted mean time on treatment if proportional hazards fail</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PDC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Weighted linear regression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Mean difference</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PDC &gt;= 80%, switching, any inpatient, any 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Weighted linear probability and log-link Poisson models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RD and RR</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Outpatient and obesity-related visit counts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Weighted negative binomial regression (Poisson as a check)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Rate ratio and mean difference</w:t>
            </w:r>
          </w:p>
        </w:tc>
      </w:tr>
      <w:tr>
        <w:trPr>
          <w:trHeight w:val="360"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Pharmacy and total costs (all &gt;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Weighted gamma GLM with log link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Cost ratio; mean difference with 95% CI from 500 bootstrap replicates that re-estimate the PS</w:t>
            </w:r>
          </w:p>
        </w:tc>
      </w:tr>
      <w:tr>
        <w:trPr>
          <w:trHeight w:val="360" w:hRule="auto"/>
        </w:trPr>
        body7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Medical cost (includes $0)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Weighted two-part model: logistic (any cost) and gamma-log (positive costs)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Mean difference (bootstrap CI)</w:t>
            </w:r>
          </w:p>
        </w:tc>
      </w:tr>
    </w:tbl>
    <w:p>
      <w:pPr>
        <w:pStyle w:val="Normal"/>
      </w:pPr>
      <w:r>
        <w:t xml:space="preserve"/>
      </w:r>
    </w:p>
    <w:p>
      <w:pPr>
        <w:pStyle w:val="Normal"/>
        <w:jc w:val="left"/>
        <w:pBdr>
          <w:bottom w:val="none" w:sz="0" w:space="0" w:color="000000"/>
          <w:top w:val="none" w:sz="0" w:space="0" w:color="000000"/>
          <w:left w:val="none" w:sz="0" w:space="0" w:color="000000"/>
          <w:right w:val="none" w:sz="0" w:space="0" w:color="000000"/>
        </w:pBdr>
        <w:spacing w:after="80" w:before="0" w:line="264"/>
        <w:ind w:left="0" w:right="0" w:firstLine="0" w:firstLineChars="0"/>
      </w:pPr>
      <w:r>
        <w:rPr>
          <w:rFonts w:ascii="Arial" w:hAnsi="Arial" w:eastAsia="Arial" w:cs="Arial"/>
          <w:i w:val="false"/>
          <w:b w:val="false"/>
          <w:u w:val="none"/>
          <w:strike w:val="false"/>
          <w:sz w:val="21"/>
          <w:szCs w:val="21"/>
          <w:color w:val="000000"/>
        </w:rPr>
        <w:t xml:space="preserve">The treatment indicator is the only regressor in the weighted outcome models (marginal effects). Statistical tests are two-sided with alpha = 0.05; secondary outcomes are interpreted with estimates and confidence intervals and are not adjusted for multiplicity.</w:t>
      </w:r>
    </w:p>
    <w:p>
      <w:pPr>
        <w:pStyle w:val="Normal"/>
        <w:jc w:val="left"/>
        <w:pBdr>
          <w:bottom w:val="none" w:sz="0" w:space="0" w:color="000000"/>
          <w:top w:val="none" w:sz="0" w:space="0" w:color="000000"/>
          <w:left w:val="none" w:sz="0" w:space="0" w:color="000000"/>
          <w:right w:val="none" w:sz="0" w:space="0" w:color="000000"/>
        </w:pBdr>
        <w:spacing w:after="80" w:before="120" w:line="240"/>
        <w:ind w:left="0" w:right="0" w:firstLine="0" w:firstLineChars="0"/>
      </w:pPr>
      <w:r>
        <w:rPr>
          <w:rFonts w:ascii="Arial" w:hAnsi="Arial" w:eastAsia="Arial" w:cs="Arial"/>
          <w:i w:val="false"/>
          <w:b w:val="true"/>
          <w:u w:val="none"/>
          <w:strike w:val="false"/>
          <w:sz w:val="24"/>
          <w:szCs w:val="24"/>
          <w:color w:val="2E5597"/>
        </w:rPr>
        <w:t xml:space="preserve">8.4 Model assumption checks</w:t>
      </w:r>
    </w:p>
    <w:p>
      <w:pPr>
        <w:pStyle w:val="Normal"/>
        <w:jc w:val="left"/>
        <w:pBdr>
          <w:bottom w:val="none" w:sz="0" w:space="0" w:color="000000"/>
          <w:top w:val="none" w:sz="0" w:space="0" w:color="000000"/>
          <w:left w:val="none" w:sz="0" w:space="0" w:color="000000"/>
          <w:right w:val="none" w:sz="0" w:space="0" w:color="000000"/>
        </w:pBdr>
        <w:spacing w:after="80" w:before="0" w:line="264"/>
        <w:ind w:left="280" w:right="0" w:firstLine="0" w:firstLineChars="0"/>
      </w:pPr>
      <w:r>
        <w:rPr>
          <w:rFonts w:ascii="Arial" w:hAnsi="Arial" w:eastAsia="Arial" w:cs="Arial"/>
          <w:i w:val="false"/>
          <w:b w:val="false"/>
          <w:u w:val="none"/>
          <w:strike w:val="false"/>
          <w:sz w:val="21"/>
          <w:szCs w:val="21"/>
          <w:color w:val="000000"/>
        </w:rPr>
        <w:t xml:space="preserve">•  </w:t>
      </w:r>
      <w:r>
        <w:rPr>
          <w:rFonts w:ascii="Arial" w:hAnsi="Arial" w:eastAsia="Arial" w:cs="Arial"/>
          <w:i w:val="false"/>
          <w:b w:val="false"/>
          <w:u w:val="none"/>
          <w:strike w:val="false"/>
          <w:sz w:val="21"/>
          <w:szCs w:val="21"/>
          <w:color w:val="000000"/>
        </w:rPr>
        <w:t xml:space="preserve">Proportional hazards: Schoenfeld residual test and plot (cox.zph).</w:t>
      </w:r>
    </w:p>
    <w:p>
      <w:pPr>
        <w:pStyle w:val="Normal"/>
        <w:jc w:val="left"/>
        <w:pBdr>
          <w:bottom w:val="none" w:sz="0" w:space="0" w:color="000000"/>
          <w:top w:val="none" w:sz="0" w:space="0" w:color="000000"/>
          <w:left w:val="none" w:sz="0" w:space="0" w:color="000000"/>
          <w:right w:val="none" w:sz="0" w:space="0" w:color="000000"/>
        </w:pBdr>
        <w:spacing w:after="80" w:before="0" w:line="264"/>
        <w:ind w:left="280" w:right="0" w:firstLine="0" w:firstLineChars="0"/>
      </w:pPr>
      <w:r>
        <w:rPr>
          <w:rFonts w:ascii="Arial" w:hAnsi="Arial" w:eastAsia="Arial" w:cs="Arial"/>
          <w:i w:val="false"/>
          <w:b w:val="false"/>
          <w:u w:val="none"/>
          <w:strike w:val="false"/>
          <w:sz w:val="21"/>
          <w:szCs w:val="21"/>
          <w:color w:val="000000"/>
        </w:rPr>
        <w:t xml:space="preserve">•  </w:t>
      </w:r>
      <w:r>
        <w:rPr>
          <w:rFonts w:ascii="Arial" w:hAnsi="Arial" w:eastAsia="Arial" w:cs="Arial"/>
          <w:i w:val="false"/>
          <w:b w:val="false"/>
          <w:u w:val="none"/>
          <w:strike w:val="false"/>
          <w:sz w:val="21"/>
          <w:szCs w:val="21"/>
          <w:color w:val="000000"/>
        </w:rPr>
        <w:t xml:space="preserve">Cost models: modified Park test for the variance function (gamma implies a coefficient near 2); residual plots; compare with log-normal results if the Park test rejects.</w:t>
      </w:r>
    </w:p>
    <w:p>
      <w:pPr>
        <w:pStyle w:val="Normal"/>
        <w:jc w:val="left"/>
        <w:pBdr>
          <w:bottom w:val="none" w:sz="0" w:space="0" w:color="000000"/>
          <w:top w:val="none" w:sz="0" w:space="0" w:color="000000"/>
          <w:left w:val="none" w:sz="0" w:space="0" w:color="000000"/>
          <w:right w:val="none" w:sz="0" w:space="0" w:color="000000"/>
        </w:pBdr>
        <w:spacing w:after="80" w:before="0" w:line="264"/>
        <w:ind w:left="280" w:right="0" w:firstLine="0" w:firstLineChars="0"/>
      </w:pPr>
      <w:r>
        <w:rPr>
          <w:rFonts w:ascii="Arial" w:hAnsi="Arial" w:eastAsia="Arial" w:cs="Arial"/>
          <w:i w:val="false"/>
          <w:b w:val="false"/>
          <w:u w:val="none"/>
          <w:strike w:val="false"/>
          <w:sz w:val="21"/>
          <w:szCs w:val="21"/>
          <w:color w:val="000000"/>
        </w:rPr>
        <w:t xml:space="preserve">•  </w:t>
      </w:r>
      <w:r>
        <w:rPr>
          <w:rFonts w:ascii="Arial" w:hAnsi="Arial" w:eastAsia="Arial" w:cs="Arial"/>
          <w:i w:val="false"/>
          <w:b w:val="false"/>
          <w:u w:val="none"/>
          <w:strike w:val="false"/>
          <w:sz w:val="21"/>
          <w:szCs w:val="21"/>
          <w:color w:val="000000"/>
        </w:rPr>
        <w:t xml:space="preserve">Count models: overdispersion (Poisson vs negative binomial).</w:t>
      </w:r>
    </w:p>
    <w:p>
      <w:pPr>
        <w:pStyle w:val="Normal"/>
        <w:jc w:val="left"/>
        <w:pBdr>
          <w:bottom w:val="none" w:sz="0" w:space="0" w:color="000000"/>
          <w:top w:val="none" w:sz="0" w:space="0" w:color="000000"/>
          <w:left w:val="none" w:sz="0" w:space="0" w:color="000000"/>
          <w:right w:val="none" w:sz="0" w:space="0" w:color="000000"/>
        </w:pBdr>
        <w:spacing w:after="80" w:before="0" w:line="264"/>
        <w:ind w:left="280" w:right="0" w:firstLine="0" w:firstLineChars="0"/>
      </w:pPr>
      <w:r>
        <w:rPr>
          <w:rFonts w:ascii="Arial" w:hAnsi="Arial" w:eastAsia="Arial" w:cs="Arial"/>
          <w:i w:val="false"/>
          <w:b w:val="false"/>
          <w:u w:val="none"/>
          <w:strike w:val="false"/>
          <w:sz w:val="21"/>
          <w:szCs w:val="21"/>
          <w:color w:val="000000"/>
        </w:rPr>
        <w:t xml:space="preserve">•  </w:t>
      </w:r>
      <w:r>
        <w:rPr>
          <w:rFonts w:ascii="Arial" w:hAnsi="Arial" w:eastAsia="Arial" w:cs="Arial"/>
          <w:i w:val="false"/>
          <w:b w:val="false"/>
          <w:u w:val="none"/>
          <w:strike w:val="false"/>
          <w:sz w:val="21"/>
          <w:szCs w:val="21"/>
          <w:color w:val="000000"/>
        </w:rPr>
        <w:t xml:space="preserve">PS model: overlap plot, c-statistic (reported only for description), extreme weights.</w:t>
      </w:r>
    </w:p>
    <w:p>
      <w:pPr>
        <w:pStyle w:val="Normal"/>
        <w:jc w:val="left"/>
        <w:pBdr>
          <w:bottom w:val="none" w:sz="0" w:space="0" w:color="000000"/>
          <w:top w:val="none" w:sz="0" w:space="0" w:color="000000"/>
          <w:left w:val="none" w:sz="0" w:space="0" w:color="000000"/>
          <w:right w:val="none" w:sz="0" w:space="0" w:color="000000"/>
        </w:pBdr>
        <w:spacing w:after="80" w:before="120" w:line="240"/>
        <w:ind w:left="0" w:right="0" w:firstLine="0" w:firstLineChars="0"/>
      </w:pPr>
      <w:r>
        <w:rPr>
          <w:rFonts w:ascii="Arial" w:hAnsi="Arial" w:eastAsia="Arial" w:cs="Arial"/>
          <w:i w:val="false"/>
          <w:b w:val="true"/>
          <w:u w:val="none"/>
          <w:strike w:val="false"/>
          <w:sz w:val="24"/>
          <w:szCs w:val="24"/>
          <w:color w:val="2E5597"/>
        </w:rPr>
        <w:t xml:space="preserve">8.5 Missing data</w:t>
      </w:r>
    </w:p>
    <w:p>
      <w:pPr>
        <w:pStyle w:val="Normal"/>
        <w:jc w:val="left"/>
        <w:pBdr>
          <w:bottom w:val="none" w:sz="0" w:space="0" w:color="000000"/>
          <w:top w:val="none" w:sz="0" w:space="0" w:color="000000"/>
          <w:left w:val="none" w:sz="0" w:space="0" w:color="000000"/>
          <w:right w:val="none" w:sz="0" w:space="0" w:color="000000"/>
        </w:pBdr>
        <w:spacing w:after="80" w:before="0" w:line="264"/>
        <w:ind w:left="280" w:right="0" w:firstLine="0" w:firstLineChars="0"/>
      </w:pPr>
      <w:r>
        <w:rPr>
          <w:rFonts w:ascii="Arial" w:hAnsi="Arial" w:eastAsia="Arial" w:cs="Arial"/>
          <w:i w:val="false"/>
          <w:b w:val="false"/>
          <w:u w:val="none"/>
          <w:strike w:val="false"/>
          <w:sz w:val="21"/>
          <w:szCs w:val="21"/>
          <w:color w:val="000000"/>
        </w:rPr>
        <w:t xml:space="preserve">•  </w:t>
      </w:r>
      <w:r>
        <w:rPr>
          <w:rFonts w:ascii="Arial" w:hAnsi="Arial" w:eastAsia="Arial" w:cs="Arial"/>
          <w:i w:val="false"/>
          <w:b w:val="false"/>
          <w:u w:val="none"/>
          <w:strike w:val="false"/>
          <w:sz w:val="21"/>
          <w:szCs w:val="21"/>
          <w:color w:val="000000"/>
        </w:rPr>
        <w:t xml:space="preserve">Birth year missing: eligibility cannot be determined; excluded and counted in the flow diagram.</w:t>
      </w:r>
    </w:p>
    <w:p>
      <w:pPr>
        <w:pStyle w:val="Normal"/>
        <w:jc w:val="left"/>
        <w:pBdr>
          <w:bottom w:val="none" w:sz="0" w:space="0" w:color="000000"/>
          <w:top w:val="none" w:sz="0" w:space="0" w:color="000000"/>
          <w:left w:val="none" w:sz="0" w:space="0" w:color="000000"/>
          <w:right w:val="none" w:sz="0" w:space="0" w:color="000000"/>
        </w:pBdr>
        <w:spacing w:after="80" w:before="0" w:line="264"/>
        <w:ind w:left="280" w:right="0" w:firstLine="0" w:firstLineChars="0"/>
      </w:pPr>
      <w:r>
        <w:rPr>
          <w:rFonts w:ascii="Arial" w:hAnsi="Arial" w:eastAsia="Arial" w:cs="Arial"/>
          <w:i w:val="false"/>
          <w:b w:val="false"/>
          <w:u w:val="none"/>
          <w:strike w:val="false"/>
          <w:sz w:val="21"/>
          <w:szCs w:val="21"/>
          <w:color w:val="000000"/>
        </w:rPr>
        <w:t xml:space="preserve">•  </w:t>
      </w:r>
      <w:r>
        <w:rPr>
          <w:rFonts w:ascii="Arial" w:hAnsi="Arial" w:eastAsia="Arial" w:cs="Arial"/>
          <w:i w:val="false"/>
          <w:b w:val="false"/>
          <w:u w:val="none"/>
          <w:strike w:val="false"/>
          <w:sz w:val="21"/>
          <w:szCs w:val="21"/>
          <w:color w:val="000000"/>
        </w:rPr>
        <w:t xml:space="preserve">Sex unknown or conflicting member records: excluded (expected &lt; 1%).</w:t>
      </w:r>
    </w:p>
    <w:p>
      <w:pPr>
        <w:pStyle w:val="Normal"/>
        <w:jc w:val="left"/>
        <w:pBdr>
          <w:bottom w:val="none" w:sz="0" w:space="0" w:color="000000"/>
          <w:top w:val="none" w:sz="0" w:space="0" w:color="000000"/>
          <w:left w:val="none" w:sz="0" w:space="0" w:color="000000"/>
          <w:right w:val="none" w:sz="0" w:space="0" w:color="000000"/>
        </w:pBdr>
        <w:spacing w:after="80" w:before="0" w:line="264"/>
        <w:ind w:left="280" w:right="0" w:firstLine="0" w:firstLineChars="0"/>
      </w:pPr>
      <w:r>
        <w:rPr>
          <w:rFonts w:ascii="Arial" w:hAnsi="Arial" w:eastAsia="Arial" w:cs="Arial"/>
          <w:i w:val="false"/>
          <w:b w:val="false"/>
          <w:u w:val="none"/>
          <w:strike w:val="false"/>
          <w:sz w:val="21"/>
          <w:szCs w:val="21"/>
          <w:color w:val="000000"/>
        </w:rPr>
        <w:t xml:space="preserve">•  </w:t>
      </w:r>
      <w:r>
        <w:rPr>
          <w:rFonts w:ascii="Arial" w:hAnsi="Arial" w:eastAsia="Arial" w:cs="Arial"/>
          <w:i w:val="false"/>
          <w:b w:val="false"/>
          <w:u w:val="none"/>
          <w:strike w:val="false"/>
          <w:sz w:val="21"/>
          <w:szCs w:val="21"/>
          <w:color w:val="000000"/>
        </w:rPr>
        <w:t xml:space="preserve">State missing: "Unknown" region category.</w:t>
      </w:r>
    </w:p>
    <w:p>
      <w:pPr>
        <w:pStyle w:val="Normal"/>
        <w:jc w:val="left"/>
        <w:pBdr>
          <w:bottom w:val="none" w:sz="0" w:space="0" w:color="000000"/>
          <w:top w:val="none" w:sz="0" w:space="0" w:color="000000"/>
          <w:left w:val="none" w:sz="0" w:space="0" w:color="000000"/>
          <w:right w:val="none" w:sz="0" w:space="0" w:color="000000"/>
        </w:pBdr>
        <w:spacing w:after="80" w:before="0" w:line="264"/>
        <w:ind w:left="280" w:right="0" w:firstLine="0" w:firstLineChars="0"/>
      </w:pPr>
      <w:r>
        <w:rPr>
          <w:rFonts w:ascii="Arial" w:hAnsi="Arial" w:eastAsia="Arial" w:cs="Arial"/>
          <w:i w:val="false"/>
          <w:b w:val="false"/>
          <w:u w:val="none"/>
          <w:strike w:val="false"/>
          <w:sz w:val="21"/>
          <w:szCs w:val="21"/>
          <w:color w:val="000000"/>
        </w:rPr>
        <w:t xml:space="preserve">•  </w:t>
      </w:r>
      <w:r>
        <w:rPr>
          <w:rFonts w:ascii="Arial" w:hAnsi="Arial" w:eastAsia="Arial" w:cs="Arial"/>
          <w:i w:val="false"/>
          <w:b w:val="false"/>
          <w:u w:val="none"/>
          <w:strike w:val="false"/>
          <w:sz w:val="21"/>
          <w:szCs w:val="21"/>
          <w:color w:val="000000"/>
        </w:rPr>
        <w:t xml:space="preserve">Missing allowed amounts: imputed deterministically from paid amounts (pharmacy: paid + out-of-pocket; medical: paid / median paid-to-allowed ratio for the claim type).</w:t>
      </w:r>
    </w:p>
    <w:p>
      <w:pPr>
        <w:pStyle w:val="Normal"/>
        <w:jc w:val="left"/>
        <w:pBdr>
          <w:bottom w:val="none" w:sz="0" w:space="0" w:color="000000"/>
          <w:top w:val="none" w:sz="0" w:space="0" w:color="000000"/>
          <w:left w:val="none" w:sz="0" w:space="0" w:color="000000"/>
          <w:right w:val="none" w:sz="0" w:space="0" w:color="000000"/>
        </w:pBdr>
        <w:spacing w:after="80" w:before="0" w:line="264"/>
        <w:ind w:left="280" w:right="0" w:firstLine="0" w:firstLineChars="0"/>
      </w:pPr>
      <w:r>
        <w:rPr>
          <w:rFonts w:ascii="Arial" w:hAnsi="Arial" w:eastAsia="Arial" w:cs="Arial"/>
          <w:i w:val="false"/>
          <w:b w:val="false"/>
          <w:u w:val="none"/>
          <w:strike w:val="false"/>
          <w:sz w:val="21"/>
          <w:szCs w:val="21"/>
          <w:color w:val="000000"/>
        </w:rPr>
        <w:t xml:space="preserve">•  </w:t>
      </w:r>
      <w:r>
        <w:rPr>
          <w:rFonts w:ascii="Arial" w:hAnsi="Arial" w:eastAsia="Arial" w:cs="Arial"/>
          <w:i w:val="false"/>
          <w:b w:val="false"/>
          <w:u w:val="none"/>
          <w:strike w:val="false"/>
          <w:sz w:val="21"/>
          <w:szCs w:val="21"/>
          <w:color w:val="000000"/>
        </w:rPr>
        <w:t xml:space="preserve">Obesity class is unrecorded for many patients because BMI codes are optional. This is not random (likely missing not at random), so multiple imputation under MAR would not remove the bias; "Unknown" is kept as a category and a sensitivity analysis restricts to patients with a recorded class.</w:t>
      </w:r>
    </w:p>
    <w:p>
      <w:pPr>
        <w:pStyle w:val="Normal"/>
        <w:jc w:val="left"/>
        <w:pBdr>
          <w:bottom w:val="none" w:sz="0" w:space="0" w:color="000000"/>
          <w:top w:val="none" w:sz="0" w:space="0" w:color="000000"/>
          <w:left w:val="none" w:sz="0" w:space="0" w:color="000000"/>
          <w:right w:val="none" w:sz="0" w:space="0" w:color="000000"/>
        </w:pBdr>
        <w:spacing w:after="80" w:before="0" w:line="264"/>
        <w:ind w:left="280" w:right="0" w:firstLine="0" w:firstLineChars="0"/>
      </w:pPr>
      <w:r>
        <w:rPr>
          <w:rFonts w:ascii="Arial" w:hAnsi="Arial" w:eastAsia="Arial" w:cs="Arial"/>
          <w:i w:val="false"/>
          <w:b w:val="false"/>
          <w:u w:val="none"/>
          <w:strike w:val="false"/>
          <w:sz w:val="21"/>
          <w:szCs w:val="21"/>
          <w:color w:val="000000"/>
        </w:rPr>
        <w:t xml:space="preserve">•  </w:t>
      </w:r>
      <w:r>
        <w:rPr>
          <w:rFonts w:ascii="Arial" w:hAnsi="Arial" w:eastAsia="Arial" w:cs="Arial"/>
          <w:i w:val="false"/>
          <w:b w:val="false"/>
          <w:u w:val="none"/>
          <w:strike w:val="false"/>
          <w:sz w:val="21"/>
          <w:szCs w:val="21"/>
          <w:color w:val="000000"/>
        </w:rPr>
        <w:t xml:space="preserve">Utilization and costs: absence of a claim means no use (standard in claims; all patients are continuously enrolled).</w:t>
      </w:r>
    </w:p>
    <w:p>
      <w:pPr>
        <w:pStyle w:val="Normal"/>
        <w:jc w:val="left"/>
        <w:pBdr>
          <w:bottom w:val="none" w:sz="0" w:space="0" w:color="000000"/>
          <w:top w:val="none" w:sz="0" w:space="0" w:color="000000"/>
          <w:left w:val="none" w:sz="0" w:space="0" w:color="000000"/>
          <w:right w:val="none" w:sz="0" w:space="0" w:color="000000"/>
        </w:pBdr>
        <w:spacing w:after="80" w:before="120" w:line="240"/>
        <w:ind w:left="0" w:right="0" w:firstLine="0" w:firstLineChars="0"/>
      </w:pPr>
      <w:r>
        <w:rPr>
          <w:rFonts w:ascii="Arial" w:hAnsi="Arial" w:eastAsia="Arial" w:cs="Arial"/>
          <w:i w:val="false"/>
          <w:b w:val="true"/>
          <w:u w:val="none"/>
          <w:strike w:val="false"/>
          <w:sz w:val="24"/>
          <w:szCs w:val="24"/>
          <w:color w:val="2E5597"/>
        </w:rPr>
        <w:t xml:space="preserve">8.6 Subgroup analyses (Aim 5)</w:t>
      </w:r>
    </w:p>
    <w:p>
      <w:pPr>
        <w:pStyle w:val="Normal"/>
        <w:jc w:val="left"/>
        <w:pBdr>
          <w:bottom w:val="none" w:sz="0" w:space="0" w:color="000000"/>
          <w:top w:val="none" w:sz="0" w:space="0" w:color="000000"/>
          <w:left w:val="none" w:sz="0" w:space="0" w:color="000000"/>
          <w:right w:val="none" w:sz="0" w:space="0" w:color="000000"/>
        </w:pBdr>
        <w:spacing w:after="80" w:before="0" w:line="264"/>
        <w:ind w:left="0" w:right="0" w:firstLine="0" w:firstLineChars="0"/>
      </w:pPr>
      <w:r>
        <w:rPr>
          <w:rFonts w:ascii="Arial" w:hAnsi="Arial" w:eastAsia="Arial" w:cs="Arial"/>
          <w:i w:val="false"/>
          <w:b w:val="false"/>
          <w:u w:val="none"/>
          <w:strike w:val="false"/>
          <w:sz w:val="21"/>
          <w:szCs w:val="21"/>
          <w:color w:val="000000"/>
        </w:rPr>
        <w:t xml:space="preserve">Obesity class (1, 2, 3, Unknown), sex, age group (18-44, 45-64) and plan type (CDHP vs non-CDHP), for the primary outcome. Weighted RD and RR in each subgroup and a test of the treatment-by-subgroup interaction in the weighted model. Results are exploratory and are shown in a forest plot.</w:t>
      </w:r>
    </w:p>
    <w:p>
      <w:pPr>
        <w:pStyle w:val="Normal"/>
        <w:jc w:val="left"/>
        <w:pBdr>
          <w:bottom w:val="none" w:sz="0" w:space="0" w:color="000000"/>
          <w:top w:val="none" w:sz="0" w:space="0" w:color="000000"/>
          <w:left w:val="none" w:sz="0" w:space="0" w:color="000000"/>
          <w:right w:val="none" w:sz="0" w:space="0" w:color="000000"/>
        </w:pBdr>
        <w:spacing w:after="80" w:before="120" w:line="240"/>
        <w:ind w:left="0" w:right="0" w:firstLine="0" w:firstLineChars="0"/>
      </w:pPr>
      <w:r>
        <w:rPr>
          <w:rFonts w:ascii="Arial" w:hAnsi="Arial" w:eastAsia="Arial" w:cs="Arial"/>
          <w:i w:val="false"/>
          <w:b w:val="true"/>
          <w:u w:val="none"/>
          <w:strike w:val="false"/>
          <w:sz w:val="24"/>
          <w:szCs w:val="24"/>
          <w:color w:val="2E5597"/>
        </w:rPr>
        <w:t xml:space="preserve">8.7 Sensitivity analyses (Aim 6)</w:t>
      </w:r>
    </w:p>
    <w:tbl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E8EEF5"/>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7"/>
                <w:szCs w:val="17"/>
                <w:color w:val="000000"/>
              </w:rPr>
            </w:pPr>
            <w:r>
              <w:rPr>
                <w:rFonts w:ascii="Arial" w:hAnsi="Arial" w:eastAsia="Arial" w:cs="Arial"/>
                <w:i w:val="false"/>
                <w:b w:val="true"/>
                <w:u w:val="none"/>
                <w:strike w:val="false"/>
                <w:sz w:val="17"/>
                <w:szCs w:val="17"/>
                <w:color w:val="000000"/>
              </w:rPr>
              <w:t xml:space="preserve">#</w:t>
            </w:r>
          </w:p>
        </w:tc>
        <w:tc>
          <w:tcPr>
            <w:tcBorders>
              <w:bottom w:val="single" w:sz="12" w:space="0" w:color="666666"/>
              <w:top w:val="single" w:sz="12" w:space="0" w:color="666666"/>
              <w:left w:val="none" w:sz="0" w:space="0" w:color="000000"/>
              <w:right w:val="none" w:sz="0" w:space="0" w:color="000000"/>
            </w:tcBorders>
            <w:shd w:val="clear" w:color="auto" w:fill="E8EEF5"/>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7"/>
                <w:szCs w:val="17"/>
                <w:color w:val="000000"/>
              </w:rPr>
            </w:pPr>
            <w:r>
              <w:rPr>
                <w:rFonts w:ascii="Arial" w:hAnsi="Arial" w:eastAsia="Arial" w:cs="Arial"/>
                <w:i w:val="false"/>
                <w:b w:val="true"/>
                <w:u w:val="none"/>
                <w:strike w:val="false"/>
                <w:sz w:val="17"/>
                <w:szCs w:val="17"/>
                <w:color w:val="000000"/>
              </w:rPr>
              <w:t xml:space="preserve">Analysis</w:t>
            </w:r>
          </w:p>
        </w:tc>
        <w:tc>
          <w:tcPr>
            <w:tcBorders>
              <w:bottom w:val="single" w:sz="12" w:space="0" w:color="666666"/>
              <w:top w:val="single" w:sz="12" w:space="0" w:color="666666"/>
              <w:left w:val="none" w:sz="0" w:space="0" w:color="000000"/>
              <w:right w:val="none" w:sz="0" w:space="0" w:color="000000"/>
            </w:tcBorders>
            <w:shd w:val="clear" w:color="auto" w:fill="E8EEF5"/>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7"/>
                <w:szCs w:val="17"/>
                <w:color w:val="000000"/>
              </w:rPr>
            </w:pPr>
            <w:r>
              <w:rPr>
                <w:rFonts w:ascii="Arial" w:hAnsi="Arial" w:eastAsia="Arial" w:cs="Arial"/>
                <w:i w:val="false"/>
                <w:b w:val="true"/>
                <w:u w:val="none"/>
                <w:strike w:val="false"/>
                <w:sz w:val="17"/>
                <w:szCs w:val="17"/>
                <w:color w:val="000000"/>
              </w:rPr>
              <w:t xml:space="preserve">Purpose</w:t>
            </w:r>
          </w:p>
        </w:tc>
      </w:tr>
      <w:tr>
        <w:trPr>
          <w:trHeight w:val="360"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S1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Persistence with a 30-day gap</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Definition</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S2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Persistence with a 90-day gap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Definition</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S3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Persistence on either molecule (switching is not discontinuation)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Definition</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S4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1:1 nearest-neighbour PS matching, caliper 0.2 SD of the logit PS (ATT)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Method</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S5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IPTW with weights trimmed at the 1st and 99th percentiles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Positivity</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S6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Doubly robust: weighted outcome model that also includes all covariates (g-computation)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Model dependence</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S7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Exclude baseline metformin users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Residual diabetes misclassification</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S8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Restrict to patients with a recorded obesity class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Missing BMI</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S9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Costs winsorized at the 99th percentile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Outliers</w:t>
            </w:r>
          </w:p>
        </w:tc>
      </w:tr>
      <w:tr>
        <w:trPr>
          <w:trHeight w:val="360"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S10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E-values for the primary RR and HR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Unmeasured confounding</w:t>
            </w:r>
          </w:p>
        </w:tc>
      </w:tr>
      <w:tr>
        <w:trPr>
          <w:trHeight w:val="360" w:hRule="auto"/>
        </w:trPr>
        body11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S11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Negative control outcome (cancer screening)</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Residual confounding</w:t>
            </w:r>
          </w:p>
        </w:tc>
      </w:tr>
    </w:tbl>
    <w:p>
      <w:pPr>
        <w:pStyle w:val="Normal"/>
      </w:pPr>
      <w:r>
        <w:t xml:space="preserve"/>
      </w:r>
    </w:p>
    <w:p>
      <w:pPr>
        <w:pStyle w:val="Normal"/>
        <w:jc w:val="left"/>
        <w:pBdr>
          <w:bottom w:val="none" w:sz="0" w:space="0" w:color="000000"/>
          <w:top w:val="none" w:sz="0" w:space="0" w:color="000000"/>
          <w:left w:val="none" w:sz="0" w:space="0" w:color="000000"/>
          <w:right w:val="none" w:sz="0" w:space="0" w:color="000000"/>
        </w:pBdr>
        <w:spacing w:after="80" w:before="200" w:line="240"/>
        <w:ind w:left="0" w:right="0" w:firstLine="0" w:firstLineChars="0"/>
      </w:pPr>
      <w:r>
        <w:rPr>
          <w:rFonts w:ascii="Arial" w:hAnsi="Arial" w:eastAsia="Arial" w:cs="Arial"/>
          <w:i w:val="false"/>
          <w:b w:val="true"/>
          <w:u w:val="none"/>
          <w:strike w:val="false"/>
          <w:sz w:val="28"/>
          <w:szCs w:val="28"/>
          <w:color w:val="1F3864"/>
        </w:rPr>
        <w:t xml:space="preserve">9. Sample size and power</w:t>
      </w:r>
    </w:p>
    <w:p>
      <w:pPr>
        <w:pStyle w:val="Normal"/>
        <w:jc w:val="left"/>
        <w:pBdr>
          <w:bottom w:val="none" w:sz="0" w:space="0" w:color="000000"/>
          <w:top w:val="none" w:sz="0" w:space="0" w:color="000000"/>
          <w:left w:val="none" w:sz="0" w:space="0" w:color="000000"/>
          <w:right w:val="none" w:sz="0" w:space="0" w:color="000000"/>
        </w:pBdr>
        <w:spacing w:after="80" w:before="0" w:line="264"/>
        <w:ind w:left="0" w:right="0" w:firstLine="0" w:firstLineChars="0"/>
      </w:pPr>
      <w:r>
        <w:rPr>
          <w:rFonts w:ascii="Arial" w:hAnsi="Arial" w:eastAsia="Arial" w:cs="Arial"/>
          <w:i w:val="false"/>
          <w:b w:val="false"/>
          <w:u w:val="none"/>
          <w:strike w:val="false"/>
          <w:sz w:val="21"/>
          <w:szCs w:val="21"/>
          <w:color w:val="000000"/>
        </w:rPr>
        <w:t xml:space="preserve">Feasibility counts (step 4 of the workflow) found 10,540 first fills of Zepbound or Wegovy in the identification window. Applying the eligibility criteria, which uses only baseline information, left 5,240 patients (2,558 tirzepatide, 2,682 semaglutide); no outcome was looked at. Assuming 12-month persistence of about 60% with semaglutide 2.4 mg (Marshall 2026), this sample gives about 96% power (two-sided alpha 0.05) to detect an absolute difference of 5 percentage points, and 80% power for a difference of about 3.7 percentage points. Weighting reduces the effective sample size, which is reported.</w:t>
      </w:r>
    </w:p>
    <w:p>
      <w:pPr>
        <w:pStyle w:val="Normal"/>
        <w:jc w:val="left"/>
        <w:pBdr>
          <w:bottom w:val="none" w:sz="0" w:space="0" w:color="000000"/>
          <w:top w:val="none" w:sz="0" w:space="0" w:color="000000"/>
          <w:left w:val="none" w:sz="0" w:space="0" w:color="000000"/>
          <w:right w:val="none" w:sz="0" w:space="0" w:color="000000"/>
        </w:pBdr>
        <w:spacing w:after="80" w:before="200" w:line="240"/>
        <w:ind w:left="0" w:right="0" w:firstLine="0" w:firstLineChars="0"/>
      </w:pPr>
      <w:r>
        <w:rPr>
          <w:rFonts w:ascii="Arial" w:hAnsi="Arial" w:eastAsia="Arial" w:cs="Arial"/>
          <w:i w:val="false"/>
          <w:b w:val="true"/>
          <w:u w:val="none"/>
          <w:strike w:val="false"/>
          <w:sz w:val="28"/>
          <w:szCs w:val="28"/>
          <w:color w:val="1F3864"/>
        </w:rPr>
        <w:t xml:space="preserve">10. Table and figure shells</w:t>
      </w:r>
    </w:p>
    <w:p>
      <w:pPr>
        <w:pStyle w:val="Normal"/>
        <w:jc w:val="left"/>
        <w:pBdr>
          <w:bottom w:val="none" w:sz="0" w:space="0" w:color="000000"/>
          <w:top w:val="none" w:sz="0" w:space="0" w:color="000000"/>
          <w:left w:val="none" w:sz="0" w:space="0" w:color="000000"/>
          <w:right w:val="none" w:sz="0" w:space="0" w:color="000000"/>
        </w:pBdr>
        <w:spacing w:after="80" w:before="0" w:line="264"/>
        <w:ind w:left="0" w:right="0" w:firstLine="0" w:firstLineChars="0"/>
      </w:pPr>
      <w:r>
        <w:rPr>
          <w:rFonts w:ascii="Arial" w:hAnsi="Arial" w:eastAsia="Arial" w:cs="Arial"/>
          <w:i w:val="false"/>
          <w:b w:val="true"/>
          <w:u w:val="none"/>
          <w:strike w:val="false"/>
          <w:sz w:val="21"/>
          <w:szCs w:val="21"/>
          <w:color w:val="000000"/>
        </w:rPr>
        <w:t xml:space="preserve">Table 1. Baseline characteristics by treatment group, before and after weighting</w:t>
      </w:r>
    </w:p>
    <w:tbl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E8EEF5"/>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7"/>
                <w:szCs w:val="17"/>
                <w:color w:val="000000"/>
              </w:rPr>
            </w:pPr>
            <w:r>
              <w:rPr>
                <w:rFonts w:ascii="Arial" w:hAnsi="Arial" w:eastAsia="Arial" w:cs="Arial"/>
                <w:i w:val="false"/>
                <w:b w:val="true"/>
                <w:u w:val="none"/>
                <w:strike w:val="false"/>
                <w:sz w:val="17"/>
                <w:szCs w:val="17"/>
                <w:color w:val="000000"/>
              </w:rPr>
              <w:t xml:space="preserve">Characteristic</w:t>
            </w:r>
          </w:p>
        </w:tc>
        <w:tc>
          <w:tcPr>
            <w:tcBorders>
              <w:bottom w:val="single" w:sz="12" w:space="0" w:color="666666"/>
              <w:top w:val="single" w:sz="12" w:space="0" w:color="666666"/>
              <w:left w:val="none" w:sz="0" w:space="0" w:color="000000"/>
              <w:right w:val="none" w:sz="0" w:space="0" w:color="000000"/>
            </w:tcBorders>
            <w:shd w:val="clear" w:color="auto" w:fill="E8EEF5"/>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7"/>
                <w:szCs w:val="17"/>
                <w:color w:val="000000"/>
              </w:rPr>
            </w:pPr>
            <w:r>
              <w:rPr>
                <w:rFonts w:ascii="Arial" w:hAnsi="Arial" w:eastAsia="Arial" w:cs="Arial"/>
                <w:i w:val="false"/>
                <w:b w:val="true"/>
                <w:u w:val="none"/>
                <w:strike w:val="false"/>
                <w:sz w:val="17"/>
                <w:szCs w:val="17"/>
                <w:color w:val="000000"/>
              </w:rPr>
              <w:t xml:space="preserve">Tirzepatide (n = xx)</w:t>
            </w:r>
          </w:p>
        </w:tc>
        <w:tc>
          <w:tcPr>
            <w:tcBorders>
              <w:bottom w:val="single" w:sz="12" w:space="0" w:color="666666"/>
              <w:top w:val="single" w:sz="12" w:space="0" w:color="666666"/>
              <w:left w:val="none" w:sz="0" w:space="0" w:color="000000"/>
              <w:right w:val="none" w:sz="0" w:space="0" w:color="000000"/>
            </w:tcBorders>
            <w:shd w:val="clear" w:color="auto" w:fill="E8EEF5"/>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7"/>
                <w:szCs w:val="17"/>
                <w:color w:val="000000"/>
              </w:rPr>
            </w:pPr>
            <w:r>
              <w:rPr>
                <w:rFonts w:ascii="Arial" w:hAnsi="Arial" w:eastAsia="Arial" w:cs="Arial"/>
                <w:i w:val="false"/>
                <w:b w:val="true"/>
                <w:u w:val="none"/>
                <w:strike w:val="false"/>
                <w:sz w:val="17"/>
                <w:szCs w:val="17"/>
                <w:color w:val="000000"/>
              </w:rPr>
              <w:t xml:space="preserve">Semaglutide 2.4 mg (n = xx)</w:t>
            </w:r>
          </w:p>
        </w:tc>
        <w:tc>
          <w:tcPr>
            <w:tcBorders>
              <w:bottom w:val="single" w:sz="12" w:space="0" w:color="666666"/>
              <w:top w:val="single" w:sz="12" w:space="0" w:color="666666"/>
              <w:left w:val="none" w:sz="0" w:space="0" w:color="000000"/>
              <w:right w:val="none" w:sz="0" w:space="0" w:color="000000"/>
            </w:tcBorders>
            <w:shd w:val="clear" w:color="auto" w:fill="E8EEF5"/>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7"/>
                <w:szCs w:val="17"/>
                <w:color w:val="000000"/>
              </w:rPr>
            </w:pPr>
            <w:r>
              <w:rPr>
                <w:rFonts w:ascii="Arial" w:hAnsi="Arial" w:eastAsia="Arial" w:cs="Arial"/>
                <w:i w:val="false"/>
                <w:b w:val="true"/>
                <w:u w:val="none"/>
                <w:strike w:val="false"/>
                <w:sz w:val="17"/>
                <w:szCs w:val="17"/>
                <w:color w:val="000000"/>
              </w:rPr>
              <w:t xml:space="preserve">SMD unweighted</w:t>
            </w:r>
          </w:p>
        </w:tc>
        <w:tc>
          <w:tcPr>
            <w:tcBorders>
              <w:bottom w:val="single" w:sz="12" w:space="0" w:color="666666"/>
              <w:top w:val="single" w:sz="12" w:space="0" w:color="666666"/>
              <w:left w:val="none" w:sz="0" w:space="0" w:color="000000"/>
              <w:right w:val="none" w:sz="0" w:space="0" w:color="000000"/>
            </w:tcBorders>
            <w:shd w:val="clear" w:color="auto" w:fill="E8EEF5"/>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7"/>
                <w:szCs w:val="17"/>
                <w:color w:val="000000"/>
              </w:rPr>
            </w:pPr>
            <w:r>
              <w:rPr>
                <w:rFonts w:ascii="Arial" w:hAnsi="Arial" w:eastAsia="Arial" w:cs="Arial"/>
                <w:i w:val="false"/>
                <w:b w:val="true"/>
                <w:u w:val="none"/>
                <w:strike w:val="false"/>
                <w:sz w:val="17"/>
                <w:szCs w:val="17"/>
                <w:color w:val="000000"/>
              </w:rPr>
              <w:t xml:space="preserve">SMD weighted</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Age, mean (SD)</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xx (xx)</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xx (xx)</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x.xx</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x.xx</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Female, n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xx (xx)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xx (xx)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x.xx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x.xx</w:t>
            </w:r>
          </w:p>
        </w:tc>
      </w:tr>
      <w:tr>
        <w:trPr>
          <w:trHeight w:val="360" w:hRule="auto"/>
        </w:trPr>
        body3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
            </w:r>
          </w:p>
        </w:tc>
      </w:tr>
    </w:tbl>
    <w:p>
      <w:pPr>
        <w:pStyle w:val="Normal"/>
      </w:pPr>
      <w:r>
        <w:t xml:space="preserve"/>
      </w:r>
    </w:p>
    <w:p>
      <w:pPr>
        <w:pStyle w:val="Normal"/>
        <w:jc w:val="left"/>
        <w:pBdr>
          <w:bottom w:val="none" w:sz="0" w:space="0" w:color="000000"/>
          <w:top w:val="none" w:sz="0" w:space="0" w:color="000000"/>
          <w:left w:val="none" w:sz="0" w:space="0" w:color="000000"/>
          <w:right w:val="none" w:sz="0" w:space="0" w:color="000000"/>
        </w:pBdr>
        <w:spacing w:after="80" w:before="0" w:line="264"/>
        <w:ind w:left="0" w:right="0" w:firstLine="0" w:firstLineChars="0"/>
      </w:pPr>
      <w:r>
        <w:rPr>
          <w:rFonts w:ascii="Arial" w:hAnsi="Arial" w:eastAsia="Arial" w:cs="Arial"/>
          <w:i w:val="false"/>
          <w:b w:val="true"/>
          <w:u w:val="none"/>
          <w:strike w:val="false"/>
          <w:sz w:val="21"/>
          <w:szCs w:val="21"/>
          <w:color w:val="000000"/>
        </w:rPr>
        <w:t xml:space="preserve">Table 2. Persistence, adherence and switching at 12 months (IPTW)</w:t>
      </w:r>
    </w:p>
    <w:tbl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E8EEF5"/>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7"/>
                <w:szCs w:val="17"/>
                <w:color w:val="000000"/>
              </w:rPr>
            </w:pPr>
            <w:r>
              <w:rPr>
                <w:rFonts w:ascii="Arial" w:hAnsi="Arial" w:eastAsia="Arial" w:cs="Arial"/>
                <w:i w:val="false"/>
                <w:b w:val="true"/>
                <w:u w:val="none"/>
                <w:strike w:val="false"/>
                <w:sz w:val="17"/>
                <w:szCs w:val="17"/>
                <w:color w:val="000000"/>
              </w:rPr>
              <w:t xml:space="preserve">Outcome</w:t>
            </w:r>
          </w:p>
        </w:tc>
        <w:tc>
          <w:tcPr>
            <w:tcBorders>
              <w:bottom w:val="single" w:sz="12" w:space="0" w:color="666666"/>
              <w:top w:val="single" w:sz="12" w:space="0" w:color="666666"/>
              <w:left w:val="none" w:sz="0" w:space="0" w:color="000000"/>
              <w:right w:val="none" w:sz="0" w:space="0" w:color="000000"/>
            </w:tcBorders>
            <w:shd w:val="clear" w:color="auto" w:fill="E8EEF5"/>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7"/>
                <w:szCs w:val="17"/>
                <w:color w:val="000000"/>
              </w:rPr>
            </w:pPr>
            <w:r>
              <w:rPr>
                <w:rFonts w:ascii="Arial" w:hAnsi="Arial" w:eastAsia="Arial" w:cs="Arial"/>
                <w:i w:val="false"/>
                <w:b w:val="true"/>
                <w:u w:val="none"/>
                <w:strike w:val="false"/>
                <w:sz w:val="17"/>
                <w:szCs w:val="17"/>
                <w:color w:val="000000"/>
              </w:rPr>
              <w:t xml:space="preserve">Tirzepatide</w:t>
            </w:r>
          </w:p>
        </w:tc>
        <w:tc>
          <w:tcPr>
            <w:tcBorders>
              <w:bottom w:val="single" w:sz="12" w:space="0" w:color="666666"/>
              <w:top w:val="single" w:sz="12" w:space="0" w:color="666666"/>
              <w:left w:val="none" w:sz="0" w:space="0" w:color="000000"/>
              <w:right w:val="none" w:sz="0" w:space="0" w:color="000000"/>
            </w:tcBorders>
            <w:shd w:val="clear" w:color="auto" w:fill="E8EEF5"/>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7"/>
                <w:szCs w:val="17"/>
                <w:color w:val="000000"/>
              </w:rPr>
            </w:pPr>
            <w:r>
              <w:rPr>
                <w:rFonts w:ascii="Arial" w:hAnsi="Arial" w:eastAsia="Arial" w:cs="Arial"/>
                <w:i w:val="false"/>
                <w:b w:val="true"/>
                <w:u w:val="none"/>
                <w:strike w:val="false"/>
                <w:sz w:val="17"/>
                <w:szCs w:val="17"/>
                <w:color w:val="000000"/>
              </w:rPr>
              <w:t xml:space="preserve">Semaglutide 2.4 mg</w:t>
            </w:r>
          </w:p>
        </w:tc>
        <w:tc>
          <w:tcPr>
            <w:tcBorders>
              <w:bottom w:val="single" w:sz="12" w:space="0" w:color="666666"/>
              <w:top w:val="single" w:sz="12" w:space="0" w:color="666666"/>
              <w:left w:val="none" w:sz="0" w:space="0" w:color="000000"/>
              <w:right w:val="none" w:sz="0" w:space="0" w:color="000000"/>
            </w:tcBorders>
            <w:shd w:val="clear" w:color="auto" w:fill="E8EEF5"/>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7"/>
                <w:szCs w:val="17"/>
                <w:color w:val="000000"/>
              </w:rPr>
            </w:pPr>
            <w:r>
              <w:rPr>
                <w:rFonts w:ascii="Arial" w:hAnsi="Arial" w:eastAsia="Arial" w:cs="Arial"/>
                <w:i w:val="false"/>
                <w:b w:val="true"/>
                <w:u w:val="none"/>
                <w:strike w:val="false"/>
                <w:sz w:val="17"/>
                <w:szCs w:val="17"/>
                <w:color w:val="000000"/>
              </w:rPr>
              <w:t xml:space="preserve">Difference (95% CI)</w:t>
            </w:r>
          </w:p>
        </w:tc>
        <w:tc>
          <w:tcPr>
            <w:tcBorders>
              <w:bottom w:val="single" w:sz="12" w:space="0" w:color="666666"/>
              <w:top w:val="single" w:sz="12" w:space="0" w:color="666666"/>
              <w:left w:val="none" w:sz="0" w:space="0" w:color="000000"/>
              <w:right w:val="none" w:sz="0" w:space="0" w:color="000000"/>
            </w:tcBorders>
            <w:shd w:val="clear" w:color="auto" w:fill="E8EEF5"/>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7"/>
                <w:szCs w:val="17"/>
                <w:color w:val="000000"/>
              </w:rPr>
            </w:pPr>
            <w:r>
              <w:rPr>
                <w:rFonts w:ascii="Arial" w:hAnsi="Arial" w:eastAsia="Arial" w:cs="Arial"/>
                <w:i w:val="false"/>
                <w:b w:val="true"/>
                <w:u w:val="none"/>
                <w:strike w:val="false"/>
                <w:sz w:val="17"/>
                <w:szCs w:val="17"/>
                <w:color w:val="000000"/>
              </w:rPr>
              <w:t xml:space="preserve">Ratio (95% CI)</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Persistent at 12 months, %</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xx</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xx</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RD xx (xx, xx)</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RR xx (xx, xx)</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Time to discontinuation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HR xx (xx, xx)</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PDC, mean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xx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xx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xx (xx, xx)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PDC &gt;= 80%,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xx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xx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xx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xx</w:t>
            </w:r>
          </w:p>
        </w:tc>
      </w:tr>
      <w:tr>
        <w:trPr>
          <w:trHeight w:val="360" w:hRule="auto"/>
        </w:trPr>
        body5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Switched, %</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xx</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xx</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xx</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xx</w:t>
            </w:r>
          </w:p>
        </w:tc>
      </w:tr>
    </w:tbl>
    <w:p>
      <w:pPr>
        <w:pStyle w:val="Normal"/>
      </w:pPr>
      <w:r>
        <w:t xml:space="preserve"/>
      </w:r>
    </w:p>
    <w:p>
      <w:pPr>
        <w:pStyle w:val="Normal"/>
        <w:jc w:val="left"/>
        <w:pBdr>
          <w:bottom w:val="none" w:sz="0" w:space="0" w:color="000000"/>
          <w:top w:val="none" w:sz="0" w:space="0" w:color="000000"/>
          <w:left w:val="none" w:sz="0" w:space="0" w:color="000000"/>
          <w:right w:val="none" w:sz="0" w:space="0" w:color="000000"/>
        </w:pBdr>
        <w:spacing w:after="80" w:before="0" w:line="264"/>
        <w:ind w:left="0" w:right="0" w:firstLine="0" w:firstLineChars="0"/>
      </w:pPr>
      <w:r>
        <w:rPr>
          <w:rFonts w:ascii="Arial" w:hAnsi="Arial" w:eastAsia="Arial" w:cs="Arial"/>
          <w:i w:val="false"/>
          <w:b w:val="true"/>
          <w:u w:val="none"/>
          <w:strike w:val="false"/>
          <w:sz w:val="21"/>
          <w:szCs w:val="21"/>
          <w:color w:val="000000"/>
        </w:rPr>
        <w:t xml:space="preserve">Table 3. Healthcare utilization and costs at 12 months (IPTW)</w:t>
      </w:r>
    </w:p>
    <w:tbl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E8EEF5"/>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7"/>
                <w:szCs w:val="17"/>
                <w:color w:val="000000"/>
              </w:rPr>
            </w:pPr>
            <w:r>
              <w:rPr>
                <w:rFonts w:ascii="Arial" w:hAnsi="Arial" w:eastAsia="Arial" w:cs="Arial"/>
                <w:i w:val="false"/>
                <w:b w:val="true"/>
                <w:u w:val="none"/>
                <w:strike w:val="false"/>
                <w:sz w:val="17"/>
                <w:szCs w:val="17"/>
                <w:color w:val="000000"/>
              </w:rPr>
              <w:t xml:space="preserve">Outcome</w:t>
            </w:r>
          </w:p>
        </w:tc>
        <w:tc>
          <w:tcPr>
            <w:tcBorders>
              <w:bottom w:val="single" w:sz="12" w:space="0" w:color="666666"/>
              <w:top w:val="single" w:sz="12" w:space="0" w:color="666666"/>
              <w:left w:val="none" w:sz="0" w:space="0" w:color="000000"/>
              <w:right w:val="none" w:sz="0" w:space="0" w:color="000000"/>
            </w:tcBorders>
            <w:shd w:val="clear" w:color="auto" w:fill="E8EEF5"/>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7"/>
                <w:szCs w:val="17"/>
                <w:color w:val="000000"/>
              </w:rPr>
            </w:pPr>
            <w:r>
              <w:rPr>
                <w:rFonts w:ascii="Arial" w:hAnsi="Arial" w:eastAsia="Arial" w:cs="Arial"/>
                <w:i w:val="false"/>
                <w:b w:val="true"/>
                <w:u w:val="none"/>
                <w:strike w:val="false"/>
                <w:sz w:val="17"/>
                <w:szCs w:val="17"/>
                <w:color w:val="000000"/>
              </w:rPr>
              <w:t xml:space="preserve">Tirzepatide</w:t>
            </w:r>
          </w:p>
        </w:tc>
        <w:tc>
          <w:tcPr>
            <w:tcBorders>
              <w:bottom w:val="single" w:sz="12" w:space="0" w:color="666666"/>
              <w:top w:val="single" w:sz="12" w:space="0" w:color="666666"/>
              <w:left w:val="none" w:sz="0" w:space="0" w:color="000000"/>
              <w:right w:val="none" w:sz="0" w:space="0" w:color="000000"/>
            </w:tcBorders>
            <w:shd w:val="clear" w:color="auto" w:fill="E8EEF5"/>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7"/>
                <w:szCs w:val="17"/>
                <w:color w:val="000000"/>
              </w:rPr>
            </w:pPr>
            <w:r>
              <w:rPr>
                <w:rFonts w:ascii="Arial" w:hAnsi="Arial" w:eastAsia="Arial" w:cs="Arial"/>
                <w:i w:val="false"/>
                <w:b w:val="true"/>
                <w:u w:val="none"/>
                <w:strike w:val="false"/>
                <w:sz w:val="17"/>
                <w:szCs w:val="17"/>
                <w:color w:val="000000"/>
              </w:rPr>
              <w:t xml:space="preserve">Semaglutide 2.4 mg</w:t>
            </w:r>
          </w:p>
        </w:tc>
        <w:tc>
          <w:tcPr>
            <w:tcBorders>
              <w:bottom w:val="single" w:sz="12" w:space="0" w:color="666666"/>
              <w:top w:val="single" w:sz="12" w:space="0" w:color="666666"/>
              <w:left w:val="none" w:sz="0" w:space="0" w:color="000000"/>
              <w:right w:val="none" w:sz="0" w:space="0" w:color="000000"/>
            </w:tcBorders>
            <w:shd w:val="clear" w:color="auto" w:fill="E8EEF5"/>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7"/>
                <w:szCs w:val="17"/>
                <w:color w:val="000000"/>
              </w:rPr>
            </w:pPr>
            <w:r>
              <w:rPr>
                <w:rFonts w:ascii="Arial" w:hAnsi="Arial" w:eastAsia="Arial" w:cs="Arial"/>
                <w:i w:val="false"/>
                <w:b w:val="true"/>
                <w:u w:val="none"/>
                <w:strike w:val="false"/>
                <w:sz w:val="17"/>
                <w:szCs w:val="17"/>
                <w:color w:val="000000"/>
              </w:rPr>
              <w:t xml:space="preserve">Difference (95% CI)</w:t>
            </w:r>
          </w:p>
        </w:tc>
        <w:tc>
          <w:tcPr>
            <w:tcBorders>
              <w:bottom w:val="single" w:sz="12" w:space="0" w:color="666666"/>
              <w:top w:val="single" w:sz="12" w:space="0" w:color="666666"/>
              <w:left w:val="none" w:sz="0" w:space="0" w:color="000000"/>
              <w:right w:val="none" w:sz="0" w:space="0" w:color="000000"/>
            </w:tcBorders>
            <w:shd w:val="clear" w:color="auto" w:fill="E8EEF5"/>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7"/>
                <w:szCs w:val="17"/>
                <w:color w:val="000000"/>
              </w:rPr>
            </w:pPr>
            <w:r>
              <w:rPr>
                <w:rFonts w:ascii="Arial" w:hAnsi="Arial" w:eastAsia="Arial" w:cs="Arial"/>
                <w:i w:val="false"/>
                <w:b w:val="true"/>
                <w:u w:val="none"/>
                <w:strike w:val="false"/>
                <w:sz w:val="17"/>
                <w:szCs w:val="17"/>
                <w:color w:val="000000"/>
              </w:rPr>
              <w:t xml:space="preserve">Ratio (95% CI)</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Any inpatient admission, %</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Any ED visit,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Outpatient visits, mean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Medical cost, mean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Pharmacy cost, mean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
            </w:r>
          </w:p>
        </w:tc>
      </w:tr>
      <w:tr>
        <w:trPr>
          <w:trHeight w:val="360" w:hRule="auto"/>
        </w:trPr>
        body6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Total cost, mean $</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
            </w:r>
          </w:p>
        </w:tc>
      </w:tr>
    </w:tbl>
    <w:p>
      <w:pPr>
        <w:pStyle w:val="Normal"/>
      </w:pPr>
      <w:r>
        <w:t xml:space="preserve"/>
      </w:r>
    </w:p>
    <w:p>
      <w:pPr>
        <w:pStyle w:val="Normal"/>
        <w:jc w:val="left"/>
        <w:pBdr>
          <w:bottom w:val="none" w:sz="0" w:space="0" w:color="000000"/>
          <w:top w:val="none" w:sz="0" w:space="0" w:color="000000"/>
          <w:left w:val="none" w:sz="0" w:space="0" w:color="000000"/>
          <w:right w:val="none" w:sz="0" w:space="0" w:color="000000"/>
        </w:pBdr>
        <w:spacing w:after="80" w:before="0" w:line="264"/>
        <w:ind w:left="0" w:right="0" w:firstLine="0" w:firstLineChars="0"/>
      </w:pPr>
      <w:r>
        <w:rPr>
          <w:rFonts w:ascii="Arial" w:hAnsi="Arial" w:eastAsia="Arial" w:cs="Arial"/>
          <w:i w:val="false"/>
          <w:b w:val="true"/>
          <w:u w:val="none"/>
          <w:strike w:val="false"/>
          <w:sz w:val="21"/>
          <w:szCs w:val="21"/>
          <w:color w:val="000000"/>
        </w:rPr>
        <w:t xml:space="preserve">Table 4. Subgroup and sensitivity analyses for 12-month persistence</w:t>
      </w:r>
    </w:p>
    <w:tbl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E8EEF5"/>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7"/>
                <w:szCs w:val="17"/>
                <w:color w:val="000000"/>
              </w:rPr>
            </w:pPr>
            <w:r>
              <w:rPr>
                <w:rFonts w:ascii="Arial" w:hAnsi="Arial" w:eastAsia="Arial" w:cs="Arial"/>
                <w:i w:val="false"/>
                <w:b w:val="true"/>
                <w:u w:val="none"/>
                <w:strike w:val="false"/>
                <w:sz w:val="17"/>
                <w:szCs w:val="17"/>
                <w:color w:val="000000"/>
              </w:rPr>
              <w:t xml:space="preserve">Analysis</w:t>
            </w:r>
          </w:p>
        </w:tc>
        <w:tc>
          <w:tcPr>
            <w:tcBorders>
              <w:bottom w:val="single" w:sz="12" w:space="0" w:color="666666"/>
              <w:top w:val="single" w:sz="12" w:space="0" w:color="666666"/>
              <w:left w:val="none" w:sz="0" w:space="0" w:color="000000"/>
              <w:right w:val="none" w:sz="0" w:space="0" w:color="000000"/>
            </w:tcBorders>
            <w:shd w:val="clear" w:color="auto" w:fill="E8EEF5"/>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7"/>
                <w:szCs w:val="17"/>
                <w:color w:val="000000"/>
              </w:rPr>
            </w:pPr>
            <w:r>
              <w:rPr>
                <w:rFonts w:ascii="Arial" w:hAnsi="Arial" w:eastAsia="Arial" w:cs="Arial"/>
                <w:i w:val="false"/>
                <w:b w:val="true"/>
                <w:u w:val="none"/>
                <w:strike w:val="false"/>
                <w:sz w:val="17"/>
                <w:szCs w:val="17"/>
                <w:color w:val="000000"/>
              </w:rPr>
              <w:t xml:space="preserve">N</w:t>
            </w:r>
          </w:p>
        </w:tc>
        <w:tc>
          <w:tcPr>
            <w:tcBorders>
              <w:bottom w:val="single" w:sz="12" w:space="0" w:color="666666"/>
              <w:top w:val="single" w:sz="12" w:space="0" w:color="666666"/>
              <w:left w:val="none" w:sz="0" w:space="0" w:color="000000"/>
              <w:right w:val="none" w:sz="0" w:space="0" w:color="000000"/>
            </w:tcBorders>
            <w:shd w:val="clear" w:color="auto" w:fill="E8EEF5"/>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7"/>
                <w:szCs w:val="17"/>
                <w:color w:val="000000"/>
              </w:rPr>
            </w:pPr>
            <w:r>
              <w:rPr>
                <w:rFonts w:ascii="Arial" w:hAnsi="Arial" w:eastAsia="Arial" w:cs="Arial"/>
                <w:i w:val="false"/>
                <w:b w:val="true"/>
                <w:u w:val="none"/>
                <w:strike w:val="false"/>
                <w:sz w:val="17"/>
                <w:szCs w:val="17"/>
                <w:color w:val="000000"/>
              </w:rPr>
              <w:t xml:space="preserve">Tirzepatide %</w:t>
            </w:r>
          </w:p>
        </w:tc>
        <w:tc>
          <w:tcPr>
            <w:tcBorders>
              <w:bottom w:val="single" w:sz="12" w:space="0" w:color="666666"/>
              <w:top w:val="single" w:sz="12" w:space="0" w:color="666666"/>
              <w:left w:val="none" w:sz="0" w:space="0" w:color="000000"/>
              <w:right w:val="none" w:sz="0" w:space="0" w:color="000000"/>
            </w:tcBorders>
            <w:shd w:val="clear" w:color="auto" w:fill="E8EEF5"/>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7"/>
                <w:szCs w:val="17"/>
                <w:color w:val="000000"/>
              </w:rPr>
            </w:pPr>
            <w:r>
              <w:rPr>
                <w:rFonts w:ascii="Arial" w:hAnsi="Arial" w:eastAsia="Arial" w:cs="Arial"/>
                <w:i w:val="false"/>
                <w:b w:val="true"/>
                <w:u w:val="none"/>
                <w:strike w:val="false"/>
                <w:sz w:val="17"/>
                <w:szCs w:val="17"/>
                <w:color w:val="000000"/>
              </w:rPr>
              <w:t xml:space="preserve">Semaglutide %</w:t>
            </w:r>
          </w:p>
        </w:tc>
        <w:tc>
          <w:tcPr>
            <w:tcBorders>
              <w:bottom w:val="single" w:sz="12" w:space="0" w:color="666666"/>
              <w:top w:val="single" w:sz="12" w:space="0" w:color="666666"/>
              <w:left w:val="none" w:sz="0" w:space="0" w:color="000000"/>
              <w:right w:val="none" w:sz="0" w:space="0" w:color="000000"/>
            </w:tcBorders>
            <w:shd w:val="clear" w:color="auto" w:fill="E8EEF5"/>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7"/>
                <w:szCs w:val="17"/>
                <w:color w:val="000000"/>
              </w:rPr>
            </w:pPr>
            <w:r>
              <w:rPr>
                <w:rFonts w:ascii="Arial" w:hAnsi="Arial" w:eastAsia="Arial" w:cs="Arial"/>
                <w:i w:val="false"/>
                <w:b w:val="true"/>
                <w:u w:val="none"/>
                <w:strike w:val="false"/>
                <w:sz w:val="17"/>
                <w:szCs w:val="17"/>
                <w:color w:val="000000"/>
              </w:rPr>
              <w:t xml:space="preserve">RD (95% CI)</w:t>
            </w:r>
          </w:p>
        </w:tc>
        <w:tc>
          <w:tcPr>
            <w:tcBorders>
              <w:bottom w:val="single" w:sz="12" w:space="0" w:color="666666"/>
              <w:top w:val="single" w:sz="12" w:space="0" w:color="666666"/>
              <w:left w:val="none" w:sz="0" w:space="0" w:color="000000"/>
              <w:right w:val="none" w:sz="0" w:space="0" w:color="000000"/>
            </w:tcBorders>
            <w:shd w:val="clear" w:color="auto" w:fill="E8EEF5"/>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7"/>
                <w:szCs w:val="17"/>
                <w:color w:val="000000"/>
              </w:rPr>
            </w:pPr>
            <w:r>
              <w:rPr>
                <w:rFonts w:ascii="Arial" w:hAnsi="Arial" w:eastAsia="Arial" w:cs="Arial"/>
                <w:i w:val="false"/>
                <w:b w:val="true"/>
                <w:u w:val="none"/>
                <w:strike w:val="false"/>
                <w:sz w:val="17"/>
                <w:szCs w:val="17"/>
                <w:color w:val="000000"/>
              </w:rPr>
              <w:t xml:space="preserve">RR (95% CI)</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Primary</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
            </w:r>
          </w:p>
        </w:tc>
      </w:tr>
      <w:tr>
        <w:trPr>
          <w:trHeight w:val="360" w:hRule="auto"/>
        </w:trPr>
        body2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S1-S11 ...</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
            </w:r>
          </w:p>
        </w:tc>
      </w:tr>
    </w:tbl>
    <w:p>
      <w:pPr>
        <w:pStyle w:val="Normal"/>
      </w:pPr>
      <w:r>
        <w:t xml:space="preserve"/>
      </w:r>
    </w:p>
    <w:p>
      <w:pPr>
        <w:pStyle w:val="Normal"/>
        <w:jc w:val="left"/>
        <w:pBdr>
          <w:bottom w:val="none" w:sz="0" w:space="0" w:color="000000"/>
          <w:top w:val="none" w:sz="0" w:space="0" w:color="000000"/>
          <w:left w:val="none" w:sz="0" w:space="0" w:color="000000"/>
          <w:right w:val="none" w:sz="0" w:space="0" w:color="000000"/>
        </w:pBdr>
        <w:spacing w:after="80" w:before="0" w:line="264"/>
        <w:ind w:left="0" w:right="0" w:firstLine="0" w:firstLineChars="0"/>
      </w:pPr>
      <w:r>
        <w:rPr>
          <w:rFonts w:ascii="Arial" w:hAnsi="Arial" w:eastAsia="Arial" w:cs="Arial"/>
          <w:i w:val="false"/>
          <w:b w:val="true"/>
          <w:u w:val="none"/>
          <w:strike w:val="false"/>
          <w:sz w:val="21"/>
          <w:szCs w:val="21"/>
          <w:color w:val="000000"/>
        </w:rPr>
        <w:t xml:space="preserve">Figures:</w:t>
      </w:r>
      <w:r>
        <w:rPr>
          <w:rFonts w:ascii="Arial" w:hAnsi="Arial" w:eastAsia="Arial" w:cs="Arial"/>
          <w:i w:val="false"/>
          <w:b w:val="false"/>
          <w:u w:val="none"/>
          <w:strike w:val="false"/>
          <w:sz w:val="21"/>
          <w:szCs w:val="21"/>
          <w:color w:val="000000"/>
        </w:rPr>
        <w:t xml:space="preserve"> (1) cohort flow diagram; (2) propensity score overlap; (3) covariate balance (Love plot); (4) weighted Kaplan-Meier curves for time to discontinuation; (5) cost distributions by group; (6) subgroup forest plot; (7) sensitivity analysis forest plot.</w:t>
      </w:r>
    </w:p>
    <w:p>
      <w:pPr>
        <w:pStyle w:val="Normal"/>
        <w:jc w:val="left"/>
        <w:pBdr>
          <w:bottom w:val="none" w:sz="0" w:space="0" w:color="000000"/>
          <w:top w:val="none" w:sz="0" w:space="0" w:color="000000"/>
          <w:left w:val="none" w:sz="0" w:space="0" w:color="000000"/>
          <w:right w:val="none" w:sz="0" w:space="0" w:color="000000"/>
        </w:pBdr>
        <w:spacing w:after="80" w:before="200" w:line="240"/>
        <w:ind w:left="0" w:right="0" w:firstLine="0" w:firstLineChars="0"/>
      </w:pPr>
      <w:r>
        <w:rPr>
          <w:rFonts w:ascii="Arial" w:hAnsi="Arial" w:eastAsia="Arial" w:cs="Arial"/>
          <w:i w:val="false"/>
          <w:b w:val="true"/>
          <w:u w:val="none"/>
          <w:strike w:val="false"/>
          <w:sz w:val="28"/>
          <w:szCs w:val="28"/>
          <w:color w:val="1F3864"/>
        </w:rPr>
        <w:t xml:space="preserve">11. Software and reproducibility</w:t>
      </w:r>
    </w:p>
    <w:p>
      <w:pPr>
        <w:pStyle w:val="Normal"/>
        <w:jc w:val="left"/>
        <w:pBdr>
          <w:bottom w:val="none" w:sz="0" w:space="0" w:color="000000"/>
          <w:top w:val="none" w:sz="0" w:space="0" w:color="000000"/>
          <w:left w:val="none" w:sz="0" w:space="0" w:color="000000"/>
          <w:right w:val="none" w:sz="0" w:space="0" w:color="000000"/>
        </w:pBdr>
        <w:spacing w:after="80" w:before="0" w:line="264"/>
        <w:ind w:left="0" w:right="0" w:firstLine="0" w:firstLineChars="0"/>
      </w:pPr>
      <w:r>
        <w:rPr>
          <w:rFonts w:ascii="Arial" w:hAnsi="Arial" w:eastAsia="Arial" w:cs="Arial"/>
          <w:i w:val="false"/>
          <w:b w:val="false"/>
          <w:u w:val="none"/>
          <w:strike w:val="false"/>
          <w:sz w:val="21"/>
          <w:szCs w:val="21"/>
          <w:color w:val="000000"/>
        </w:rPr>
        <w:t xml:space="preserve">R 4.4.1 (x86_64-apple-darwin20), macOS 15.7.9, locale en_US.UTF-8, time zone America/New_York. Main packages: dplyr, WeightIt, MatchIt, cobalt, survival, sandwich, MASS, EValue, dagitty. Random seed 20261007. Code is in numbered scripts (05_code) and in one annotated R Markdown file; all derived data can be rebuilt from the raw extract.</w:t>
      </w:r>
    </w:p>
    <w:p>
      <w:pPr>
        <w:pStyle w:val="Normal"/>
        <w:jc w:val="left"/>
        <w:pBdr>
          <w:bottom w:val="none" w:sz="0" w:space="0" w:color="000000"/>
          <w:top w:val="none" w:sz="0" w:space="0" w:color="000000"/>
          <w:left w:val="none" w:sz="0" w:space="0" w:color="000000"/>
          <w:right w:val="none" w:sz="0" w:space="0" w:color="000000"/>
        </w:pBdr>
        <w:spacing w:after="80" w:before="200" w:line="240"/>
        <w:ind w:left="0" w:right="0" w:firstLine="0" w:firstLineChars="0"/>
      </w:pPr>
      <w:r>
        <w:rPr>
          <w:rFonts w:ascii="Arial" w:hAnsi="Arial" w:eastAsia="Arial" w:cs="Arial"/>
          <w:i w:val="false"/>
          <w:b w:val="true"/>
          <w:u w:val="none"/>
          <w:strike w:val="false"/>
          <w:sz w:val="28"/>
          <w:szCs w:val="28"/>
          <w:color w:val="1F3864"/>
        </w:rPr>
        <w:t xml:space="preserve">12. Ethics, data governance and registration</w:t>
      </w:r>
    </w:p>
    <w:p>
      <w:pPr>
        <w:pStyle w:val="Normal"/>
        <w:jc w:val="left"/>
        <w:pBdr>
          <w:bottom w:val="none" w:sz="0" w:space="0" w:color="000000"/>
          <w:top w:val="none" w:sz="0" w:space="0" w:color="000000"/>
          <w:left w:val="none" w:sz="0" w:space="0" w:color="000000"/>
          <w:right w:val="none" w:sz="0" w:space="0" w:color="000000"/>
        </w:pBdr>
        <w:spacing w:after="80" w:before="0" w:line="264"/>
        <w:ind w:left="0" w:right="0" w:firstLine="0" w:firstLineChars="0"/>
      </w:pPr>
      <w:r>
        <w:rPr>
          <w:rFonts w:ascii="Arial" w:hAnsi="Arial" w:eastAsia="Arial" w:cs="Arial"/>
          <w:i w:val="false"/>
          <w:b w:val="false"/>
          <w:u w:val="none"/>
          <w:strike w:val="false"/>
          <w:sz w:val="21"/>
          <w:szCs w:val="21"/>
          <w:color w:val="000000"/>
        </w:rPr>
        <w:t xml:space="preserve">The data are fully synthetic and contain no information about real people, so this project is not human-subjects research and needs no IRB review or data use agreement. A study on real claims would need an IRB exemption determination (de-identified data under HIPAA) and the vendor's data use agreement. For a real study this protocol would be registered (for example on the OSF registry or the HMA-EMA RWD Catalogue, formerly the EU PAS Register) before analysis. Here, the commit history of the GitHub repository time-stamps this plan before the outcome analysis.</w:t>
      </w:r>
    </w:p>
    <w:p>
      <w:pPr>
        <w:pStyle w:val="Normal"/>
        <w:jc w:val="left"/>
        <w:pBdr>
          <w:bottom w:val="none" w:sz="0" w:space="0" w:color="000000"/>
          <w:top w:val="none" w:sz="0" w:space="0" w:color="000000"/>
          <w:left w:val="none" w:sz="0" w:space="0" w:color="000000"/>
          <w:right w:val="none" w:sz="0" w:space="0" w:color="000000"/>
        </w:pBdr>
        <w:spacing w:after="80" w:before="200" w:line="240"/>
        <w:ind w:left="0" w:right="0" w:firstLine="0" w:firstLineChars="0"/>
      </w:pPr>
      <w:r>
        <w:rPr>
          <w:rFonts w:ascii="Arial" w:hAnsi="Arial" w:eastAsia="Arial" w:cs="Arial"/>
          <w:i w:val="false"/>
          <w:b w:val="true"/>
          <w:u w:val="none"/>
          <w:strike w:val="false"/>
          <w:sz w:val="28"/>
          <w:szCs w:val="28"/>
          <w:color w:val="1F3864"/>
        </w:rPr>
        <w:t xml:space="preserve">13. Amendments after version 1.0</w:t>
      </w:r>
    </w:p>
    <w:p>
      <w:pPr>
        <w:pStyle w:val="Normal"/>
        <w:jc w:val="left"/>
        <w:pBdr>
          <w:bottom w:val="none" w:sz="0" w:space="0" w:color="000000"/>
          <w:top w:val="none" w:sz="0" w:space="0" w:color="000000"/>
          <w:left w:val="none" w:sz="0" w:space="0" w:color="000000"/>
          <w:right w:val="none" w:sz="0" w:space="0" w:color="000000"/>
        </w:pBdr>
        <w:spacing w:after="80" w:before="0" w:line="264"/>
        <w:ind w:left="0" w:right="0" w:firstLine="0" w:firstLineChars="0"/>
      </w:pPr>
      <w:r>
        <w:rPr>
          <w:rFonts w:ascii="Arial" w:hAnsi="Arial" w:eastAsia="Arial" w:cs="Arial"/>
          <w:i w:val="false"/>
          <w:b w:val="false"/>
          <w:u w:val="none"/>
          <w:strike w:val="false"/>
          <w:sz w:val="21"/>
          <w:szCs w:val="21"/>
          <w:color w:val="000000"/>
        </w:rPr>
        <w:t xml:space="preserve">None at the time of writing. Any deviation found during analysis is recorded here and in the summary document, with the reason.</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mknyarko</cp:lastModifiedBy>
  <cp:revision>9</cp:revision>
  <dcterms:created xsi:type="dcterms:W3CDTF">2017-02-28T11:18:00Z</dcterms:created>
  <dcterms:modified xsi:type="dcterms:W3CDTF">2026-10-07T23:47:45Z</dcterms:modified>
  <cp:category/>
</cp:coreProperties>
</file>