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808080"/>
          <w:sz w:val="20"/>
          <w:szCs w:val="20"/>
        </w:rPr>
        <w:t xml:space="preserve">HEOR RESEARCH SAMPLE PROJECT</w:t>
      </w:r>
    </w:p>
    <w:p>
      <w:pPr>
        <w:spacing w:after="120"/>
      </w:pPr>
      <w:r>
        <w:rPr>
          <w:rFonts w:ascii="Calibri" w:cs="Calibri" w:eastAsia="Calibri" w:hAnsi="Calibri"/>
          <w:b/>
          <w:bCs/>
          <w:color w:val="1F4E79"/>
          <w:sz w:val="34"/>
          <w:szCs w:val="34"/>
        </w:rPr>
        <w:t xml:space="preserve">Real-World Persistence and Healthcare Costs of Tirzepatide versus Semaglutide 2.4 mg in Commercially Insured Adults with Obesity</w:t>
      </w:r>
    </w:p>
    <w:p>
      <w:pPr>
        <w:pBdr>
          <w:bottom w:val="single" w:color="1F4E79" w:sz="6" w:space="6"/>
        </w:pBdr>
        <w:spacing w:after="200"/>
      </w:pPr>
      <w:r>
        <w:rPr>
          <w:rFonts w:ascii="Calibri" w:cs="Calibri" w:eastAsia="Calibri" w:hAnsi="Calibri"/>
          <w:i/>
          <w:iCs/>
          <w:color w:val="595959"/>
          <w:sz w:val="20"/>
          <w:szCs w:val="20"/>
        </w:rPr>
        <w:t xml:space="preserve">Research topic, question and aims  |  Maxwell K. Nyarko  |  October 2026</w:t>
      </w:r>
    </w:p>
    <w:p>
      <w:pPr>
        <w:pStyle w:val="Heading1"/>
        <w:keepNext/>
        <w:spacing w:after="100" w:before="280"/>
      </w:pPr>
      <w:r>
        <w:rPr>
          <w:rFonts w:ascii="Calibri" w:cs="Calibri" w:eastAsia="Calibri" w:hAnsi="Calibri"/>
          <w:b/>
          <w:bCs/>
          <w:color w:val="1F4E79"/>
          <w:sz w:val="26"/>
          <w:szCs w:val="26"/>
        </w:rPr>
        <w:t xml:space="preserve">1. Research Topic</w:t>
      </w:r>
    </w:p>
    <w:p>
      <w:pPr>
        <w:spacing w:after="100"/>
      </w:pPr>
      <w:r>
        <w:rPr>
          <w:rFonts w:ascii="Calibri" w:cs="Calibri" w:eastAsia="Calibri" w:hAnsi="Calibri"/>
          <w:sz w:val="22"/>
          <w:szCs w:val="22"/>
        </w:rPr>
        <w:t xml:space="preserve">Comparative real-world treatment patterns and economic outcomes of the two leading incretin-based anti-obesity medications, tirzepatide (Zepbound, Eli Lilly) and semaglutide 2.4 mg (Wegovy, Novo Nordisk), among commercially insured U.S. adults with obesity who do not have type 2 diabetes.</w:t>
      </w:r>
    </w:p>
    <w:p>
      <w:pPr>
        <w:pStyle w:val="Heading1"/>
        <w:keepNext/>
        <w:spacing w:after="100" w:before="280"/>
      </w:pPr>
      <w:r>
        <w:rPr>
          <w:rFonts w:ascii="Calibri" w:cs="Calibri" w:eastAsia="Calibri" w:hAnsi="Calibri"/>
          <w:b/>
          <w:bCs/>
          <w:color w:val="1F4E79"/>
          <w:sz w:val="26"/>
          <w:szCs w:val="26"/>
        </w:rPr>
        <w:t xml:space="preserve">2. Background and Knowledge Gap</w:t>
      </w:r>
    </w:p>
    <w:p>
      <w:pPr>
        <w:spacing w:after="100"/>
      </w:pPr>
      <w:r>
        <w:rPr>
          <w:rFonts w:ascii="Calibri" w:cs="Calibri" w:eastAsia="Calibri" w:hAnsi="Calibri"/>
          <w:sz w:val="22"/>
          <w:szCs w:val="22"/>
        </w:rPr>
        <w:t xml:space="preserve">Tirzepatide, a dual GIP/GLP-1 receptor agonist, produced greater weight loss than semaglutide 2.4 mg in the head-to-head SURMOUNT-5 trial (mean change -20.2% vs -13.7% at 72 weeks). Trial benefit, however, assumes patients stay on treatment, and weight is largely regained after discontinuation (SURMOUNT-4). In routine care, discontinuation is common: in a Cleveland Clinic cohort of 7,881 adults, more than 20% stopped within 3 months, and one-year weight loss was 3.6% among early discontinuers versus 11.9% among those who stayed on treatment. Persistence is therefore a main driver of the value either drug delivers to patients and payers.</w:t>
      </w:r>
    </w:p>
    <w:p>
      <w:pPr>
        <w:spacing w:after="100"/>
      </w:pPr>
      <w:r>
        <w:rPr>
          <w:rFonts w:ascii="Calibri" w:cs="Calibri" w:eastAsia="Calibri" w:hAnsi="Calibri"/>
          <w:sz w:val="22"/>
          <w:szCs w:val="22"/>
        </w:rPr>
        <w:t xml:space="preserve">A structured PubMed (MEDLINE) search was run on October 7, 2026 to identify real-world studies comparing tirzepatide and semaglutide on persistence, adherence, healthcare resource utilization or costs (search strategy and results in Appendix A). Of 146 unique records screened, 10 were real-world comparisons of the two drugs; they are summarized in Table A1. The search shows that:</w:t>
      </w:r>
    </w:p>
    <w:p>
      <w:pPr>
        <w:pStyle w:val="ListParagraph"/>
        <w:numPr>
          <w:ilvl w:val="0"/>
          <w:numId w:val="2"/>
        </w:numPr>
        <w:spacing w:after="50"/>
      </w:pPr>
      <w:r>
        <w:rPr>
          <w:rFonts w:ascii="Calibri" w:cs="Calibri" w:eastAsia="Calibri" w:hAnsi="Calibri"/>
          <w:sz w:val="22"/>
          <w:szCs w:val="22"/>
        </w:rPr>
        <w:t xml:space="preserve">Persistence has been compared, but not in an adjusted analysis of U.S. commercially insured adults without diabetes. A Prime Therapeutics commercial-claims cohort reported higher unadjusted 1-year persistence with tirzepatide than with semaglutide 2.4 mg (64.8% vs 58.6% among first-half 2024 initiators), without adjustment for confounding. The only adjusted comparison (hazard ratio for discontinuation 0.67 for Zepbound vs Wegovy) comes from active-duty U.S. military service members, a younger and healthier population with no cost sharing. A Turkish multicenter study followed patients for only 6 months.</w:t>
      </w:r>
    </w:p>
    <w:p>
      <w:pPr>
        <w:pStyle w:val="ListParagraph"/>
        <w:numPr>
          <w:ilvl w:val="0"/>
          <w:numId w:val="2"/>
        </w:numPr>
        <w:spacing w:after="50"/>
      </w:pPr>
      <w:r>
        <w:rPr>
          <w:rFonts w:ascii="Calibri" w:cs="Calibri" w:eastAsia="Calibri" w:hAnsi="Calibri"/>
          <w:sz w:val="22"/>
          <w:szCs w:val="22"/>
        </w:rPr>
        <w:t xml:space="preserve">Other head-to-head real-world studies report mainly weight change, often in single clinics or in populations treated with the diabetes-labeled products (Mounjaro and Ozempic).</w:t>
      </w:r>
    </w:p>
    <w:p>
      <w:pPr>
        <w:pStyle w:val="ListParagraph"/>
        <w:numPr>
          <w:ilvl w:val="0"/>
          <w:numId w:val="2"/>
        </w:numPr>
        <w:spacing w:after="50"/>
      </w:pPr>
      <w:r>
        <w:rPr>
          <w:rFonts w:ascii="Calibri" w:cs="Calibri" w:eastAsia="Calibri" w:hAnsi="Calibri"/>
          <w:sz w:val="22"/>
          <w:szCs w:val="22"/>
        </w:rPr>
        <w:t xml:space="preserve">No study was found that compared all-cause healthcare resource utilization or medical, pharmacy and total healthcare costs between tirzepatide and semaglutide 2.4 mg in adults with obesity without diabetes. The two real-world studies reporting costs or utilization were restricted to type 2 diabetes: one reported diabetes-related pharmacy cost per patient achieving treatment targets, and one reported hospitalization or emergency department use in older adults.</w:t>
      </w:r>
    </w:p>
    <w:p>
      <w:pPr>
        <w:pStyle w:val="ListParagraph"/>
        <w:numPr>
          <w:ilvl w:val="0"/>
          <w:numId w:val="2"/>
        </w:numPr>
        <w:spacing w:after="50"/>
      </w:pPr>
      <w:r>
        <w:rPr>
          <w:rFonts w:ascii="Calibri" w:cs="Calibri" w:eastAsia="Calibri" w:hAnsi="Calibri"/>
          <w:sz w:val="22"/>
          <w:szCs w:val="22"/>
        </w:rPr>
        <w:t xml:space="preserve">Published economic models disagree widely (from cost-saving to about $197,000 per QALY), largely because they assume different treatment durations and prices; real-world persistence and cost data can inform these assumptions.</w:t>
      </w:r>
    </w:p>
    <w:p>
      <w:pPr>
        <w:spacing w:after="100"/>
      </w:pPr>
      <w:r>
        <w:rPr>
          <w:rFonts w:ascii="Calibri" w:cs="Calibri" w:eastAsia="Calibri" w:hAnsi="Calibri"/>
          <w:sz w:val="22"/>
          <w:szCs w:val="22"/>
        </w:rPr>
        <w:t xml:space="preserve">This study therefore addresses an identified gap: a confounding-adjusted, active-comparator, new-user comparison (emulating a target trial) of 12-month persistence together with healthcare utilization and all-cause costs between tirzepatide and semaglutide 2.4 mg among commercially insured U.S. adults with obesity and without type 2 diabetes.</w:t>
      </w:r>
    </w:p>
    <w:p>
      <w:pPr>
        <w:pStyle w:val="Heading1"/>
        <w:keepNext/>
        <w:spacing w:after="100" w:before="280"/>
      </w:pPr>
      <w:r>
        <w:rPr>
          <w:rFonts w:ascii="Calibri" w:cs="Calibri" w:eastAsia="Calibri" w:hAnsi="Calibri"/>
          <w:b/>
          <w:bCs/>
          <w:color w:val="1F4E79"/>
          <w:sz w:val="26"/>
          <w:szCs w:val="26"/>
        </w:rPr>
        <w:t xml:space="preserve">3. Research Question</w:t>
      </w:r>
    </w:p>
    <w:p>
      <w:pPr>
        <w:pBdr>
          <w:left w:val="single" w:color="1F4E79" w:sz="18" w:space="10"/>
        </w:pBdr>
        <w:spacing w:after="160" w:before="60"/>
        <w:ind w:left="360" w:right="360"/>
      </w:pPr>
      <w:r>
        <w:rPr>
          <w:rFonts w:ascii="Calibri" w:cs="Calibri" w:eastAsia="Calibri" w:hAnsi="Calibri"/>
          <w:i/>
          <w:iCs/>
          <w:sz w:val="23"/>
          <w:szCs w:val="23"/>
        </w:rPr>
        <w:t xml:space="preserve">Among commercially insured adults aged 18-64 with obesity and without type 2 diabetes who initiate tirzepatide (Zepbound) or semaglutide 2.4 mg (Wegovy), does tirzepatide lead to higher 12-month treatment persistence and different all-cause healthcare utilization and costs?</w:t>
      </w:r>
    </w:p>
    <w:p>
      <w:pPr>
        <w:pStyle w:val="Heading2"/>
        <w:keepNext/>
        <w:spacing w:after="60" w:before="160"/>
      </w:pPr>
      <w:r>
        <w:rPr>
          <w:rFonts w:ascii="Calibri" w:cs="Calibri" w:eastAsia="Calibri" w:hAnsi="Calibri"/>
          <w:b/>
          <w:bCs/>
          <w:color w:val="2E5C8A"/>
          <w:sz w:val="23"/>
          <w:szCs w:val="23"/>
        </w:rPr>
        <w:t xml:space="preserve">PECO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Population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Commercially insured adults aged 18-64 with an obesity diagnosis, no type 2 diabetes, and continuous medical and pharmacy enrollment for 12 months before and 12 months after treatment initiation</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Exposure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New use (first pharmacy fill) of tirzepatide (Zepbound)</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Comparator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New use (first pharmacy fill) of semaglutide 2.4 mg (Wegovy)</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Outcomes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Primary: persistence on the index drug at 12 months. Secondary: adherence (proportion of days covered), switching, all-cause and obesity-related healthcare resource utilization, and all-cause healthcare costs over 12 months</w:t>
            </w:r>
          </w:p>
        </w:tc>
      </w:tr>
    </w:tbl>
    <w:p>
      <w:pPr>
        <w:pStyle w:val="Heading1"/>
        <w:keepNext/>
        <w:spacing w:after="100" w:before="280"/>
      </w:pPr>
      <w:r>
        <w:rPr>
          <w:rFonts w:ascii="Calibri" w:cs="Calibri" w:eastAsia="Calibri" w:hAnsi="Calibri"/>
          <w:b/>
          <w:bCs/>
          <w:color w:val="1F4E79"/>
          <w:sz w:val="26"/>
          <w:szCs w:val="26"/>
        </w:rPr>
        <w:t xml:space="preserve">4. Research Aims</w:t>
      </w:r>
    </w:p>
    <w:p>
      <w:pPr>
        <w:pStyle w:val="Heading2"/>
        <w:keepNext/>
        <w:spacing w:after="60" w:before="160"/>
      </w:pPr>
      <w:r>
        <w:rPr>
          <w:rFonts w:ascii="Calibri" w:cs="Calibri" w:eastAsia="Calibri" w:hAnsi="Calibri"/>
          <w:b/>
          <w:bCs/>
          <w:color w:val="2E5C8A"/>
          <w:sz w:val="23"/>
          <w:szCs w:val="23"/>
        </w:rPr>
        <w:t xml:space="preserve">Primary aim</w:t>
      </w:r>
    </w:p>
    <w:p>
      <w:pPr>
        <w:spacing w:after="80"/>
        <w:ind w:left="360"/>
      </w:pPr>
      <w:r>
        <w:rPr>
          <w:rFonts w:ascii="Calibri" w:cs="Calibri" w:eastAsia="Calibri" w:hAnsi="Calibri"/>
          <w:b/>
          <w:bCs/>
          <w:sz w:val="22"/>
          <w:szCs w:val="22"/>
        </w:rPr>
        <w:t xml:space="preserve">Aim 1. </w:t>
      </w:r>
      <w:r>
        <w:rPr>
          <w:rFonts w:ascii="Calibri" w:cs="Calibri" w:eastAsia="Calibri" w:hAnsi="Calibri"/>
          <w:sz w:val="22"/>
          <w:szCs w:val="22"/>
        </w:rPr>
        <w:t xml:space="preserve">Compare 12-month persistence (no refill gap longer than 60 days) and time to discontinuation between new users of tirzepatide and new users of semaglutide 2.4 mg, after adjusting for baseline confounding.</w:t>
      </w:r>
    </w:p>
    <w:p>
      <w:pPr>
        <w:pStyle w:val="Heading2"/>
        <w:keepNext/>
        <w:spacing w:after="60" w:before="160"/>
      </w:pPr>
      <w:r>
        <w:rPr>
          <w:rFonts w:ascii="Calibri" w:cs="Calibri" w:eastAsia="Calibri" w:hAnsi="Calibri"/>
          <w:b/>
          <w:bCs/>
          <w:color w:val="2E5C8A"/>
          <w:sz w:val="23"/>
          <w:szCs w:val="23"/>
        </w:rPr>
        <w:t xml:space="preserve">Secondary aims</w:t>
      </w:r>
    </w:p>
    <w:p>
      <w:pPr>
        <w:spacing w:after="80"/>
        <w:ind w:left="360"/>
      </w:pPr>
      <w:r>
        <w:rPr>
          <w:rFonts w:ascii="Calibri" w:cs="Calibri" w:eastAsia="Calibri" w:hAnsi="Calibri"/>
          <w:b/>
          <w:bCs/>
          <w:sz w:val="22"/>
          <w:szCs w:val="22"/>
        </w:rPr>
        <w:t xml:space="preserve">Aim 2. </w:t>
      </w:r>
      <w:r>
        <w:rPr>
          <w:rFonts w:ascii="Calibri" w:cs="Calibri" w:eastAsia="Calibri" w:hAnsi="Calibri"/>
          <w:sz w:val="22"/>
          <w:szCs w:val="22"/>
        </w:rPr>
        <w:t xml:space="preserve">Compare medication adherence, measured as the proportion of days covered (PDC) and the proportion of patients with PDC of 80% or higher, and the frequency of switching to the other drug.</w:t>
      </w:r>
    </w:p>
    <w:p>
      <w:pPr>
        <w:spacing w:after="80"/>
        <w:ind w:left="360"/>
      </w:pPr>
      <w:r>
        <w:rPr>
          <w:rFonts w:ascii="Calibri" w:cs="Calibri" w:eastAsia="Calibri" w:hAnsi="Calibri"/>
          <w:b/>
          <w:bCs/>
          <w:sz w:val="22"/>
          <w:szCs w:val="22"/>
        </w:rPr>
        <w:t xml:space="preserve">Aim 3. </w:t>
      </w:r>
      <w:r>
        <w:rPr>
          <w:rFonts w:ascii="Calibri" w:cs="Calibri" w:eastAsia="Calibri" w:hAnsi="Calibri"/>
          <w:sz w:val="22"/>
          <w:szCs w:val="22"/>
        </w:rPr>
        <w:t xml:space="preserve">Compare 12-month all-cause healthcare resource utilization: any inpatient admission, any emergency department visit, and number of outpatient visits.</w:t>
      </w:r>
    </w:p>
    <w:p>
      <w:pPr>
        <w:spacing w:after="80"/>
        <w:ind w:left="360"/>
      </w:pPr>
      <w:r>
        <w:rPr>
          <w:rFonts w:ascii="Calibri" w:cs="Calibri" w:eastAsia="Calibri" w:hAnsi="Calibri"/>
          <w:b/>
          <w:bCs/>
          <w:sz w:val="22"/>
          <w:szCs w:val="22"/>
        </w:rPr>
        <w:t xml:space="preserve">Aim 4. </w:t>
      </w:r>
      <w:r>
        <w:rPr>
          <w:rFonts w:ascii="Calibri" w:cs="Calibri" w:eastAsia="Calibri" w:hAnsi="Calibri"/>
          <w:sz w:val="22"/>
          <w:szCs w:val="22"/>
        </w:rPr>
        <w:t xml:space="preserve">Compare 12-month all-cause healthcare costs (medical, pharmacy and total allowed amounts) from a U.S. commercial payer perspective.</w:t>
      </w:r>
    </w:p>
    <w:p>
      <w:pPr>
        <w:pStyle w:val="Heading2"/>
        <w:keepNext/>
        <w:spacing w:after="60" w:before="160"/>
      </w:pPr>
      <w:r>
        <w:rPr>
          <w:rFonts w:ascii="Calibri" w:cs="Calibri" w:eastAsia="Calibri" w:hAnsi="Calibri"/>
          <w:b/>
          <w:bCs/>
          <w:color w:val="2E5C8A"/>
          <w:sz w:val="23"/>
          <w:szCs w:val="23"/>
        </w:rPr>
        <w:t xml:space="preserve">Exploratory aims</w:t>
      </w:r>
    </w:p>
    <w:p>
      <w:pPr>
        <w:spacing w:after="80"/>
        <w:ind w:left="360"/>
      </w:pPr>
      <w:r>
        <w:rPr>
          <w:rFonts w:ascii="Calibri" w:cs="Calibri" w:eastAsia="Calibri" w:hAnsi="Calibri"/>
          <w:b/>
          <w:bCs/>
          <w:sz w:val="22"/>
          <w:szCs w:val="22"/>
        </w:rPr>
        <w:t xml:space="preserve">Aim 5. </w:t>
      </w:r>
      <w:r>
        <w:rPr>
          <w:rFonts w:ascii="Calibri" w:cs="Calibri" w:eastAsia="Calibri" w:hAnsi="Calibri"/>
          <w:sz w:val="22"/>
          <w:szCs w:val="22"/>
        </w:rPr>
        <w:t xml:space="preserve">Assess whether treatment effects on persistence differ by prespecified subgroups (for example, obesity class, sex, age group, and plan type).</w:t>
      </w:r>
    </w:p>
    <w:p>
      <w:pPr>
        <w:spacing w:after="80"/>
        <w:ind w:left="360"/>
      </w:pPr>
      <w:r>
        <w:rPr>
          <w:rFonts w:ascii="Calibri" w:cs="Calibri" w:eastAsia="Calibri" w:hAnsi="Calibri"/>
          <w:b/>
          <w:bCs/>
          <w:sz w:val="22"/>
          <w:szCs w:val="22"/>
        </w:rPr>
        <w:t xml:space="preserve">Aim 6. </w:t>
      </w:r>
      <w:r>
        <w:rPr>
          <w:rFonts w:ascii="Calibri" w:cs="Calibri" w:eastAsia="Calibri" w:hAnsi="Calibri"/>
          <w:sz w:val="22"/>
          <w:szCs w:val="22"/>
        </w:rPr>
        <w:t xml:space="preserve">Assess how robust the findings are to alternative persistence definitions, cost-handling methods, and potential unmeasured confounding.</w:t>
      </w:r>
    </w:p>
    <w:p>
      <w:pPr>
        <w:pStyle w:val="Heading1"/>
        <w:keepNext/>
        <w:spacing w:after="100" w:before="280"/>
      </w:pPr>
      <w:r>
        <w:rPr>
          <w:rFonts w:ascii="Calibri" w:cs="Calibri" w:eastAsia="Calibri" w:hAnsi="Calibri"/>
          <w:b/>
          <w:bCs/>
          <w:color w:val="1F4E79"/>
          <w:sz w:val="26"/>
          <w:szCs w:val="26"/>
        </w:rPr>
        <w:t xml:space="preserve">5. Hypotheses</w:t>
      </w:r>
    </w:p>
    <w:p>
      <w:pPr>
        <w:pStyle w:val="ListParagraph"/>
        <w:numPr>
          <w:ilvl w:val="0"/>
          <w:numId w:val="2"/>
        </w:numPr>
        <w:spacing w:after="50"/>
      </w:pPr>
      <w:r>
        <w:rPr>
          <w:rFonts w:ascii="Calibri" w:cs="Calibri" w:eastAsia="Calibri" w:hAnsi="Calibri"/>
          <w:sz w:val="22"/>
          <w:szCs w:val="22"/>
        </w:rPr>
        <w:t xml:space="preserve">H1: Tirzepatide initiators will have higher 12-month persistence and a lower hazard of discontinuation than semaglutide 2.4 mg initiators.</w:t>
      </w:r>
    </w:p>
    <w:p>
      <w:pPr>
        <w:pStyle w:val="ListParagraph"/>
        <w:numPr>
          <w:ilvl w:val="0"/>
          <w:numId w:val="2"/>
        </w:numPr>
        <w:spacing w:after="50"/>
      </w:pPr>
      <w:r>
        <w:rPr>
          <w:rFonts w:ascii="Calibri" w:cs="Calibri" w:eastAsia="Calibri" w:hAnsi="Calibri"/>
          <w:sz w:val="22"/>
          <w:szCs w:val="22"/>
        </w:rPr>
        <w:t xml:space="preserve">H2: Tirzepatide initiators will have higher adherence (PDC).</w:t>
      </w:r>
    </w:p>
    <w:p>
      <w:pPr>
        <w:pStyle w:val="ListParagraph"/>
        <w:numPr>
          <w:ilvl w:val="0"/>
          <w:numId w:val="2"/>
        </w:numPr>
        <w:spacing w:after="50"/>
      </w:pPr>
      <w:r>
        <w:rPr>
          <w:rFonts w:ascii="Calibri" w:cs="Calibri" w:eastAsia="Calibri" w:hAnsi="Calibri"/>
          <w:sz w:val="22"/>
          <w:szCs w:val="22"/>
        </w:rPr>
        <w:t xml:space="preserve">H3: Differences in 12-month all-cause medical utilization and costs will be small; total cost differences will be driven mainly by pharmacy costs.</w:t>
      </w:r>
    </w:p>
    <w:p>
      <w:pPr>
        <w:pStyle w:val="Heading1"/>
        <w:keepNext/>
        <w:spacing w:after="100" w:before="280"/>
      </w:pPr>
      <w:r>
        <w:rPr>
          <w:rFonts w:ascii="Calibri" w:cs="Calibri" w:eastAsia="Calibri" w:hAnsi="Calibri"/>
          <w:b/>
          <w:bCs/>
          <w:color w:val="1F4E79"/>
          <w:sz w:val="26"/>
          <w:szCs w:val="26"/>
        </w:rPr>
        <w:t xml:space="preserve">6. Study Design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Design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Retrospective cohort study using administrative claims, framed as a target trial emulation (active comparator, new users)</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Data source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Synthetic commercial claims extract (members, enrollment, pharmacy and medical claims), January 2023 to June 2026. Built for training; it mimics the structure and common flaws of vendor data such as Optum or MarketScan</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Index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Date of the first pharmacy fill of tirzepatide or semaglutide 2.4 mg</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Identification window</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January 1, 2024 to June 30, 2025</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Baseline period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365 days before the index date (covariate assessment and washout)</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Follow-up period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Index date through 364 days after the index date</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Perspective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U.S. commercial payer (allowed amounts; manufacturer rebates are not observable)</w:t>
            </w:r>
          </w:p>
        </w:tc>
      </w:tr>
      <w:t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rFonts w:ascii="Calibri" w:cs="Calibri" w:eastAsia="Calibri" w:hAnsi="Calibri"/>
                <w:b/>
                <w:bCs/>
                <w:sz w:val="20"/>
                <w:szCs w:val="20"/>
              </w:rPr>
              <w:t xml:space="preserve">Reporting guidelines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RECORD-PE (extension of STROBE for pharmacoepidemiology) and the TARGET guideline for target trial emulation</w:t>
            </w:r>
          </w:p>
        </w:tc>
      </w:tr>
    </w:tbl>
    <w:p>
      <w:pPr>
        <w:pStyle w:val="Heading1"/>
        <w:keepNext/>
        <w:spacing w:after="100" w:before="280"/>
      </w:pPr>
      <w:r>
        <w:rPr>
          <w:rFonts w:ascii="Calibri" w:cs="Calibri" w:eastAsia="Calibri" w:hAnsi="Calibri"/>
          <w:b/>
          <w:bCs/>
          <w:color w:val="1F4E79"/>
          <w:sz w:val="26"/>
          <w:szCs w:val="26"/>
        </w:rPr>
        <w:t xml:space="preserve">7. Note on the Data</w:t>
      </w:r>
    </w:p>
    <w:p>
      <w:pPr>
        <w:spacing w:after="100"/>
      </w:pPr>
      <w:r>
        <w:rPr>
          <w:rFonts w:ascii="Calibri" w:cs="Calibri" w:eastAsia="Calibri" w:hAnsi="Calibri"/>
          <w:sz w:val="22"/>
          <w:szCs w:val="22"/>
        </w:rPr>
        <w:t xml:space="preserve">The dataset for this project is fully synthetic. It contains no real patients, and its results are not evidence about either drug. It was generated with known relationships so the analytic methods can be checked against the truth. Any write-up should describe this work as a methods demonstration on simulated claims data.</w:t>
      </w:r>
    </w:p>
    <w:p>
      <w:pPr>
        <w:pStyle w:val="Heading1"/>
        <w:keepNext/>
        <w:spacing w:after="100" w:before="280"/>
      </w:pPr>
      <w:r>
        <w:rPr>
          <w:rFonts w:ascii="Calibri" w:cs="Calibri" w:eastAsia="Calibri" w:hAnsi="Calibri"/>
          <w:b/>
          <w:bCs/>
          <w:color w:val="1F4E79"/>
          <w:sz w:val="26"/>
          <w:szCs w:val="26"/>
        </w:rPr>
        <w:t xml:space="preserve">8. Next Steps</w:t>
      </w:r>
    </w:p>
    <w:p>
      <w:pPr>
        <w:spacing w:after="100"/>
      </w:pPr>
      <w:r>
        <w:rPr>
          <w:rFonts w:ascii="Calibri" w:cs="Calibri" w:eastAsia="Calibri" w:hAnsi="Calibri"/>
          <w:sz w:val="22"/>
          <w:szCs w:val="22"/>
        </w:rPr>
        <w:t xml:space="preserve">Following the project workflow, the next step is to draft the statistical analysis plan (SAP): operational definitions for every inclusion and exclusion criterion, exposure and outcome, the covariate set (supported by a DAG), the confounding-adjustment method, models for each outcome, missing-data handling, subgroup and sensitivity analyses, and table and figure shells.</w:t>
      </w:r>
    </w:p>
    <w:p>
      <w:pPr>
        <w:pStyle w:val="Heading1"/>
        <w:keepNext/>
        <w:spacing w:after="100" w:before="280"/>
      </w:pPr>
      <w:r>
        <w:rPr>
          <w:rFonts w:ascii="Calibri" w:cs="Calibri" w:eastAsia="Calibri" w:hAnsi="Calibri"/>
          <w:b/>
          <w:bCs/>
          <w:color w:val="1F4E79"/>
          <w:sz w:val="26"/>
          <w:szCs w:val="26"/>
        </w:rPr>
        <w:t xml:space="preserve">Key References</w:t>
      </w:r>
    </w:p>
    <w:p>
      <w:pPr>
        <w:pStyle w:val="ListParagraph"/>
        <w:numPr>
          <w:ilvl w:val="0"/>
          <w:numId w:val="2"/>
        </w:numPr>
        <w:spacing w:after="50"/>
      </w:pPr>
      <w:r>
        <w:rPr>
          <w:rFonts w:ascii="Calibri" w:cs="Calibri" w:eastAsia="Calibri" w:hAnsi="Calibri"/>
          <w:sz w:val="22"/>
          <w:szCs w:val="22"/>
        </w:rPr>
        <w:t xml:space="preserve">Aronne LJ, Horn DB, le Roux CW, et al. Tirzepatide as compared with semaglutide for the treatment of obesity (SURMOUNT-5). N Engl J Med. 2025. doi:10.1056/NEJMoa2416394</w:t>
      </w:r>
    </w:p>
    <w:p>
      <w:pPr>
        <w:pStyle w:val="ListParagraph"/>
        <w:numPr>
          <w:ilvl w:val="0"/>
          <w:numId w:val="2"/>
        </w:numPr>
        <w:spacing w:after="50"/>
      </w:pPr>
      <w:r>
        <w:rPr>
          <w:rFonts w:ascii="Calibri" w:cs="Calibri" w:eastAsia="Calibri" w:hAnsi="Calibri"/>
          <w:sz w:val="22"/>
          <w:szCs w:val="22"/>
        </w:rPr>
        <w:t xml:space="preserve">Aronne LJ, et al. Continued treatment with tirzepatide for maintenance of weight reduction in adults with obesity: the SURMOUNT-4 randomized clinical trial. JAMA. 2024. doi:10.1001/jama.2023.24945</w:t>
      </w:r>
    </w:p>
    <w:p>
      <w:pPr>
        <w:pStyle w:val="ListParagraph"/>
        <w:numPr>
          <w:ilvl w:val="0"/>
          <w:numId w:val="2"/>
        </w:numPr>
        <w:spacing w:after="50"/>
      </w:pPr>
      <w:r>
        <w:rPr>
          <w:rFonts w:ascii="Calibri" w:cs="Calibri" w:eastAsia="Calibri" w:hAnsi="Calibri"/>
          <w:sz w:val="22"/>
          <w:szCs w:val="22"/>
        </w:rPr>
        <w:t xml:space="preserve">Gasoyan H, et al. Changes in weight and glycemic control following obesity treatment with semaglutide or tirzepatide by discontinuation status. Obesity (Silver Spring). 2025;33:1657-1667. PMID 40491239</w:t>
      </w:r>
    </w:p>
    <w:p>
      <w:pPr>
        <w:pStyle w:val="ListParagraph"/>
        <w:numPr>
          <w:ilvl w:val="0"/>
          <w:numId w:val="2"/>
        </w:numPr>
        <w:spacing w:after="50"/>
      </w:pPr>
      <w:r>
        <w:rPr>
          <w:rFonts w:ascii="Calibri" w:cs="Calibri" w:eastAsia="Calibri" w:hAnsi="Calibri"/>
          <w:sz w:val="22"/>
          <w:szCs w:val="22"/>
        </w:rPr>
        <w:t xml:space="preserve">Marshall LZ, et al. Trends in 1-year persistence and adherence among initiators of high-potency, weight loss-indicated glucagon-like peptide 1 receptor agonists. J Manag Care Spec Pharm. 2026;32(3):281-291. doi:10.18553/jmcp.2026.32.3.281</w:t>
      </w:r>
    </w:p>
    <w:p>
      <w:pPr>
        <w:pStyle w:val="ListParagraph"/>
        <w:numPr>
          <w:ilvl w:val="0"/>
          <w:numId w:val="2"/>
        </w:numPr>
        <w:spacing w:after="50"/>
      </w:pPr>
      <w:r>
        <w:rPr>
          <w:rFonts w:ascii="Calibri" w:cs="Calibri" w:eastAsia="Calibri" w:hAnsi="Calibri"/>
          <w:sz w:val="22"/>
          <w:szCs w:val="22"/>
        </w:rPr>
        <w:t xml:space="preserve">Miller LB, et al. Patterns of use for GLP-1 receptor agonists in a weight management cohort: a Military Health System database analysis of active duty service members from 2021 to 2025. Mil Med. 2026. doi:10.1093/milmed/usag316</w:t>
      </w:r>
    </w:p>
    <w:p>
      <w:pPr>
        <w:pStyle w:val="ListParagraph"/>
        <w:numPr>
          <w:ilvl w:val="0"/>
          <w:numId w:val="2"/>
        </w:numPr>
        <w:spacing w:after="50"/>
      </w:pPr>
      <w:r>
        <w:rPr>
          <w:rFonts w:ascii="Calibri" w:cs="Calibri" w:eastAsia="Calibri" w:hAnsi="Calibri"/>
          <w:sz w:val="22"/>
          <w:szCs w:val="22"/>
        </w:rPr>
        <w:t xml:space="preserve">Hepşen S, et al. Real-world comparison of short-term adverse events, treatment persistence, and efficacy of semaglutide and tirzepatide: a nationwide multicenter study. Obes Facts. 2026. doi:10.1159/000552104</w:t>
      </w:r>
    </w:p>
    <w:p>
      <w:pPr>
        <w:pStyle w:val="ListParagraph"/>
        <w:numPr>
          <w:ilvl w:val="0"/>
          <w:numId w:val="2"/>
        </w:numPr>
        <w:spacing w:after="50"/>
      </w:pPr>
      <w:r>
        <w:rPr>
          <w:rFonts w:ascii="Calibri" w:cs="Calibri" w:eastAsia="Calibri" w:hAnsi="Calibri"/>
          <w:sz w:val="22"/>
          <w:szCs w:val="22"/>
        </w:rPr>
        <w:t xml:space="preserve">Hoog MM, et al. Real-world treatment patterns and cost per patient achieving treatment targets among tirzepatide and semaglutide initiators in US patients with type 2 diabetes. J Manag Care Spec Pharm. 2026;32(10):1173-1188. doi:10.18553/jmcp.2026.32.10.1173</w:t>
      </w:r>
    </w:p>
    <w:p>
      <w:pPr>
        <w:pStyle w:val="ListParagraph"/>
        <w:numPr>
          <w:ilvl w:val="0"/>
          <w:numId w:val="2"/>
        </w:numPr>
        <w:spacing w:after="50"/>
      </w:pPr>
      <w:r>
        <w:rPr>
          <w:rFonts w:ascii="Calibri" w:cs="Calibri" w:eastAsia="Calibri" w:hAnsi="Calibri"/>
          <w:sz w:val="22"/>
          <w:szCs w:val="22"/>
        </w:rPr>
        <w:t xml:space="preserve">Qadeer A, et al. Comparative real-world outcomes of tirzepatide vs semaglutide in patients with obesity and type 2 diabetes: a retrospective propensity-matched cohort study. Diab Vasc Dis Res. 2026;23(3). doi:10.1177/14791641261465360</w:t>
      </w:r>
    </w:p>
    <w:p>
      <w:pPr>
        <w:pStyle w:val="ListParagraph"/>
        <w:numPr>
          <w:ilvl w:val="0"/>
          <w:numId w:val="2"/>
        </w:numPr>
        <w:spacing w:after="50"/>
      </w:pPr>
      <w:r>
        <w:rPr>
          <w:rFonts w:ascii="Calibri" w:cs="Calibri" w:eastAsia="Calibri" w:hAnsi="Calibri"/>
          <w:sz w:val="22"/>
          <w:szCs w:val="22"/>
        </w:rPr>
        <w:t xml:space="preserve">Rodriguez PJ, et al. Semaglutide vs tirzepatide for weight loss in adults with overweight or obesity. JAMA Intern Med. 2024;184(9):1056-1064.</w:t>
      </w:r>
    </w:p>
    <w:p>
      <w:pPr>
        <w:pStyle w:val="ListParagraph"/>
        <w:numPr>
          <w:ilvl w:val="0"/>
          <w:numId w:val="2"/>
        </w:numPr>
        <w:spacing w:after="50"/>
      </w:pPr>
      <w:r>
        <w:rPr>
          <w:rFonts w:ascii="Calibri" w:cs="Calibri" w:eastAsia="Calibri" w:hAnsi="Calibri"/>
          <w:sz w:val="22"/>
          <w:szCs w:val="22"/>
        </w:rPr>
        <w:t xml:space="preserve">Ng CD, et al. Real-world weight loss observed with semaglutide and tirzepatide in patients with overweight or obesity and without type 2 diabetes (SHAPE). Adv Ther. 2025;42(11):5468-5480.</w:t>
      </w:r>
    </w:p>
    <w:p>
      <w:pPr>
        <w:pStyle w:val="ListParagraph"/>
        <w:numPr>
          <w:ilvl w:val="0"/>
          <w:numId w:val="2"/>
        </w:numPr>
        <w:spacing w:after="50"/>
      </w:pPr>
      <w:r>
        <w:rPr>
          <w:rFonts w:ascii="Calibri" w:cs="Calibri" w:eastAsia="Calibri" w:hAnsi="Calibri"/>
          <w:sz w:val="22"/>
          <w:szCs w:val="22"/>
        </w:rPr>
        <w:t xml:space="preserve">Samuels JM, et al. Real-world titration, persistence &amp; weight loss of semaglutide and tirzepatide in an academic obesity clinic. Diabetes Obes Metab. 2025;27(11):6200-6209. doi:10.1111/dom.70004</w:t>
      </w:r>
    </w:p>
    <w:p>
      <w:pPr>
        <w:pStyle w:val="ListParagraph"/>
        <w:numPr>
          <w:ilvl w:val="0"/>
          <w:numId w:val="2"/>
        </w:numPr>
        <w:spacing w:after="50"/>
      </w:pPr>
      <w:r>
        <w:rPr>
          <w:rFonts w:ascii="Calibri" w:cs="Calibri" w:eastAsia="Calibri" w:hAnsi="Calibri"/>
          <w:sz w:val="22"/>
          <w:szCs w:val="22"/>
        </w:rPr>
        <w:t xml:space="preserve">Cetiner S, et al. Real-world effectiveness and safety of tirzepatide, semaglutide, and liraglutide in adults with overweight or obesity without diabetes: a comparative study. Diabetes Metab Syndr Obes. 2026;19:594898. doi:10.2147/DMSO.S594898</w:t>
      </w:r>
    </w:p>
    <w:p>
      <w:pPr>
        <w:pStyle w:val="ListParagraph"/>
        <w:numPr>
          <w:ilvl w:val="0"/>
          <w:numId w:val="2"/>
        </w:numPr>
        <w:spacing w:after="50"/>
      </w:pPr>
      <w:r>
        <w:rPr>
          <w:rFonts w:ascii="Calibri" w:cs="Calibri" w:eastAsia="Calibri" w:hAnsi="Calibri"/>
          <w:sz w:val="22"/>
          <w:szCs w:val="22"/>
        </w:rPr>
        <w:t xml:space="preserve">Richards R, et al. Semaglutide and tirzepatide in a remote weight management program: 12-month retrospective observational study. JMIR Form Res. 2025;9:e81912. doi:10.2196/81912</w:t>
      </w:r>
    </w:p>
    <w:p>
      <w:pPr>
        <w:pStyle w:val="ListParagraph"/>
        <w:numPr>
          <w:ilvl w:val="0"/>
          <w:numId w:val="2"/>
        </w:numPr>
        <w:spacing w:after="50"/>
      </w:pPr>
      <w:r>
        <w:rPr>
          <w:rFonts w:ascii="Calibri" w:cs="Calibri" w:eastAsia="Calibri" w:hAnsi="Calibri"/>
          <w:sz w:val="22"/>
          <w:szCs w:val="22"/>
        </w:rPr>
        <w:t xml:space="preserve">Prime Therapeutics. GLP-1 therapy to treat obesity among members without diabetes: three-year persistence. Research abstract, June 2025.</w:t>
      </w:r>
    </w:p>
    <w:p>
      <w:pPr>
        <w:pStyle w:val="ListParagraph"/>
        <w:numPr>
          <w:ilvl w:val="0"/>
          <w:numId w:val="2"/>
        </w:numPr>
        <w:spacing w:after="50"/>
      </w:pPr>
      <w:r>
        <w:rPr>
          <w:rFonts w:ascii="Calibri" w:cs="Calibri" w:eastAsia="Calibri" w:hAnsi="Calibri"/>
          <w:sz w:val="22"/>
          <w:szCs w:val="22"/>
        </w:rPr>
        <w:t xml:space="preserve">Institute for Clinical and Economic Review. Obesity Management: Final Evidence Report. December 2025.</w:t>
      </w:r>
    </w:p>
    <w:p>
      <w:pPr>
        <w:pStyle w:val="ListParagraph"/>
        <w:numPr>
          <w:ilvl w:val="0"/>
          <w:numId w:val="2"/>
        </w:numPr>
        <w:spacing w:after="50"/>
      </w:pPr>
      <w:r>
        <w:rPr>
          <w:rFonts w:ascii="Calibri" w:cs="Calibri" w:eastAsia="Calibri" w:hAnsi="Calibri"/>
          <w:sz w:val="22"/>
          <w:szCs w:val="22"/>
        </w:rPr>
        <w:t xml:space="preserve">Hwang et al. Lifetime health effects and cost-effectiveness of tirzepatide and semaglutide in US adults. JAMA Health Forum. 2025. PMID 40085108</w:t>
      </w:r>
    </w:p>
    <w:p>
      <w:pPr>
        <w:pStyle w:val="ListParagraph"/>
        <w:numPr>
          <w:ilvl w:val="0"/>
          <w:numId w:val="2"/>
        </w:numPr>
        <w:spacing w:after="50"/>
      </w:pPr>
      <w:r>
        <w:rPr>
          <w:rFonts w:ascii="Calibri" w:cs="Calibri" w:eastAsia="Calibri" w:hAnsi="Calibri"/>
          <w:sz w:val="22"/>
          <w:szCs w:val="22"/>
        </w:rPr>
        <w:t xml:space="preserve">Hernán MA, Robins JM. Using big data to emulate a target trial when a randomized trial is not available. Am J Epidemiol. 2016;183(8):758-764.</w:t>
      </w:r>
    </w:p>
    <w:p>
      <w:pPr>
        <w:pStyle w:val="ListParagraph"/>
        <w:numPr>
          <w:ilvl w:val="0"/>
          <w:numId w:val="2"/>
        </w:numPr>
        <w:spacing w:after="50"/>
      </w:pPr>
      <w:r>
        <w:rPr>
          <w:rFonts w:ascii="Calibri" w:cs="Calibri" w:eastAsia="Calibri" w:hAnsi="Calibri"/>
          <w:sz w:val="22"/>
          <w:szCs w:val="22"/>
        </w:rPr>
        <w:t xml:space="preserve">Langan SM, et al. The reporting of studies conducted using observational routinely collected health data statement for pharmacoepidemiology (RECORD-PE). BMJ. 2018;363:k3532.</w:t>
      </w:r>
    </w:p>
    <w:p>
      <w:pPr>
        <w:pStyle w:val="Heading1"/>
        <w:pageBreakBefore/>
        <w:spacing w:after="100"/>
      </w:pPr>
      <w:r>
        <w:rPr>
          <w:rFonts w:ascii="Calibri" w:cs="Calibri" w:eastAsia="Calibri" w:hAnsi="Calibri"/>
          <w:b/>
          <w:bCs/>
          <w:color w:val="1F4E79"/>
          <w:sz w:val="26"/>
          <w:szCs w:val="26"/>
        </w:rPr>
        <w:t xml:space="preserve">Appendix A. Literature Search</w:t>
      </w:r>
    </w:p>
    <w:p>
      <w:pPr>
        <w:spacing w:after="100"/>
      </w:pPr>
      <w:r>
        <w:rPr>
          <w:rFonts w:ascii="Calibri" w:cs="Calibri" w:eastAsia="Calibri" w:hAnsi="Calibri"/>
          <w:b/>
          <w:bCs/>
          <w:sz w:val="22"/>
          <w:szCs w:val="22"/>
        </w:rPr>
        <w:t xml:space="preserve">Database: </w:t>
      </w:r>
      <w:r>
        <w:rPr>
          <w:rFonts w:ascii="Calibri" w:cs="Calibri" w:eastAsia="Calibri" w:hAnsi="Calibri"/>
          <w:sz w:val="22"/>
          <w:szCs w:val="22"/>
        </w:rPr>
        <w:t xml:space="preserve">MEDLINE via PubMed. </w:t>
      </w:r>
      <w:r>
        <w:rPr>
          <w:rFonts w:ascii="Calibri" w:cs="Calibri" w:eastAsia="Calibri" w:hAnsi="Calibri"/>
          <w:b/>
          <w:bCs/>
          <w:sz w:val="22"/>
          <w:szCs w:val="22"/>
        </w:rPr>
        <w:t xml:space="preserve">Date of search: </w:t>
      </w:r>
      <w:r>
        <w:rPr>
          <w:rFonts w:ascii="Calibri" w:cs="Calibri" w:eastAsia="Calibri" w:hAnsi="Calibri"/>
          <w:sz w:val="22"/>
          <w:szCs w:val="22"/>
        </w:rPr>
        <w:t xml:space="preserve">October 7, 2026. </w:t>
      </w:r>
      <w:r>
        <w:rPr>
          <w:rFonts w:ascii="Calibri" w:cs="Calibri" w:eastAsia="Calibri" w:hAnsi="Calibri"/>
          <w:b/>
          <w:bCs/>
          <w:sz w:val="22"/>
          <w:szCs w:val="22"/>
        </w:rPr>
        <w:t xml:space="preserve">Publication dates: </w:t>
      </w:r>
      <w:r>
        <w:rPr>
          <w:rFonts w:ascii="Calibri" w:cs="Calibri" w:eastAsia="Calibri" w:hAnsi="Calibri"/>
          <w:sz w:val="22"/>
          <w:szCs w:val="22"/>
        </w:rPr>
        <w:t xml:space="preserve">2022-2026 (tirzepatide was first approved in May 2022).</w:t>
      </w:r>
    </w:p>
    <w:p>
      <w:pPr>
        <w:pStyle w:val="Heading2"/>
        <w:keepNext/>
        <w:spacing w:after="60" w:before="160"/>
      </w:pPr>
      <w:r>
        <w:rPr>
          <w:rFonts w:ascii="Calibri" w:cs="Calibri" w:eastAsia="Calibri" w:hAnsi="Calibri"/>
          <w:b/>
          <w:bCs/>
          <w:color w:val="2E5C8A"/>
          <w:sz w:val="23"/>
          <w:szCs w:val="23"/>
        </w:rPr>
        <w:t xml:space="preserve">Search 1: persistence, adherence, treatment patterns and costs</w:t>
      </w:r>
    </w:p>
    <w:p>
      <w:pPr>
        <w:spacing w:after="80"/>
        <w:ind w:left="240"/>
      </w:pPr>
      <w:r>
        <w:rPr>
          <w:rFonts w:ascii="Consolas" w:cs="Consolas" w:eastAsia="Consolas" w:hAnsi="Consolas"/>
          <w:sz w:val="17"/>
          <w:szCs w:val="17"/>
        </w:rPr>
        <w:t xml:space="preserve">(tirzepatide[tiab] OR zepbound[tiab] OR mounjaro[tiab]) AND (semaglutide[tiab] OR wegovy[tiab] OR ozempic[tiab]) AND (persistence[tiab] OR persistent[tiab] OR adherence[tiab] OR discontinu*[tiab] OR cost[tiab] OR costs[tiab] OR "health care utilization"[tiab] OR "healthcare utilization"[tiab] OR "resource utilization"[tiab] OR "resource use"[tiab] OR "treatment patterns"[tiab]) AND ("real-world"[tiab] OR "real world"[tiab] OR claims[tiab] OR observational[tiab] OR retrospective[tiab] OR cohort[tiab] OR "electronic health record"[tiab] OR "electronic health records"[tiab] OR database[tiab]) AND 2022:2026[dp]</w:t>
      </w:r>
    </w:p>
    <w:p>
      <w:pPr>
        <w:spacing w:after="100"/>
      </w:pPr>
      <w:r>
        <w:rPr>
          <w:rFonts w:ascii="Calibri" w:cs="Calibri" w:eastAsia="Calibri" w:hAnsi="Calibri"/>
          <w:sz w:val="22"/>
          <w:szCs w:val="22"/>
        </w:rPr>
        <w:t xml:space="preserve">Results: 109 records.</w:t>
      </w:r>
    </w:p>
    <w:p>
      <w:pPr>
        <w:pStyle w:val="Heading2"/>
        <w:keepNext/>
        <w:spacing w:after="60" w:before="160"/>
      </w:pPr>
      <w:r>
        <w:rPr>
          <w:rFonts w:ascii="Calibri" w:cs="Calibri" w:eastAsia="Calibri" w:hAnsi="Calibri"/>
          <w:b/>
          <w:bCs/>
          <w:color w:val="2E5C8A"/>
          <w:sz w:val="23"/>
          <w:szCs w:val="23"/>
        </w:rPr>
        <w:t xml:space="preserve">Search 2: healthcare utilization and costs in obesity</w:t>
      </w:r>
    </w:p>
    <w:p>
      <w:pPr>
        <w:spacing w:after="80"/>
        <w:ind w:left="240"/>
      </w:pPr>
      <w:r>
        <w:rPr>
          <w:rFonts w:ascii="Consolas" w:cs="Consolas" w:eastAsia="Consolas" w:hAnsi="Consolas"/>
          <w:sz w:val="17"/>
          <w:szCs w:val="17"/>
        </w:rPr>
        <w:t xml:space="preserve">(tirzepatide[tiab] OR zepbound[tiab]) AND (semaglutide[tiab] OR wegovy[tiab]) AND (obesity[tiab] OR obese[tiab] OR overweight[tiab] OR "weight management"[tiab]) AND ("health care costs"[tiab] OR "healthcare costs"[tiab] OR "medical costs"[tiab] OR "all-cause costs"[tiab] OR "total costs"[tiab] OR "resource utilization"[tiab] OR "healthcare utilization"[tiab] OR "health care utilization"[tiab] OR "resource use"[tiab] OR hospitalization*[tiab] OR "emergency department"[tiab]) AND 2022:2026[dp]</w:t>
      </w:r>
    </w:p>
    <w:p>
      <w:pPr>
        <w:spacing w:after="100"/>
      </w:pPr>
      <w:r>
        <w:rPr>
          <w:rFonts w:ascii="Calibri" w:cs="Calibri" w:eastAsia="Calibri" w:hAnsi="Calibri"/>
          <w:sz w:val="22"/>
          <w:szCs w:val="22"/>
        </w:rPr>
        <w:t xml:space="preserve">Results: 46 records.</w:t>
      </w:r>
    </w:p>
    <w:p>
      <w:pPr>
        <w:pStyle w:val="Heading2"/>
        <w:keepNext/>
        <w:spacing w:after="60" w:before="160"/>
      </w:pPr>
      <w:r>
        <w:rPr>
          <w:rFonts w:ascii="Calibri" w:cs="Calibri" w:eastAsia="Calibri" w:hAnsi="Calibri"/>
          <w:b/>
          <w:bCs/>
          <w:color w:val="2E5C8A"/>
          <w:sz w:val="23"/>
          <w:szCs w:val="23"/>
        </w:rPr>
        <w:t xml:space="preserve">Screening</w:t>
      </w:r>
    </w:p>
    <w:p>
      <w:pPr>
        <w:spacing w:after="100"/>
      </w:pPr>
      <w:r>
        <w:rPr>
          <w:rFonts w:ascii="Calibri" w:cs="Calibri" w:eastAsia="Calibri" w:hAnsi="Calibri"/>
          <w:sz w:val="22"/>
          <w:szCs w:val="22"/>
        </w:rPr>
        <w:t xml:space="preserve">Records from both searches were combined (146 unique records) and screened by title and abstract. Studies were retained if they were real-world (observational) studies that directly compared tirzepatide with semaglutide on persistence, adherence, discontinuation, healthcare resource utilization, costs or weight outcomes. Reviews, meta-analyses of trials, economic models, case reports, pharmacovigilance analyses, and studies of other conditions (for example heart failure, psoriasis or inflammatory bowel disease) were excluded. Ten studies were retained (Table A1).</w:t>
      </w:r>
    </w:p>
    <w:p>
      <w:pPr>
        <w:pStyle w:val="Heading2"/>
        <w:keepNext/>
        <w:spacing w:after="60" w:before="160"/>
      </w:pPr>
      <w:r>
        <w:rPr>
          <w:rFonts w:ascii="Calibri" w:cs="Calibri" w:eastAsia="Calibri" w:hAnsi="Calibri"/>
          <w:b/>
          <w:bCs/>
          <w:color w:val="2E5C8A"/>
          <w:sz w:val="23"/>
          <w:szCs w:val="23"/>
        </w:rPr>
        <w:t xml:space="preserve">Table A1. Real-world studies comparing tirzepatide and semaglutide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1900"/>
        <w:gridCol w:w="1660"/>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Study</w:t>
            </w:r>
          </w:p>
        </w:tc>
        <w:tc>
          <w:tcPr>
            <w:tcW w:type="dxa" w:w="23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Setting and data</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Population</w:t>
            </w:r>
          </w:p>
        </w:tc>
        <w:tc>
          <w:tcPr>
            <w:tcW w:type="dxa" w:w="1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Outcomes</w:t>
            </w:r>
          </w:p>
        </w:tc>
        <w:tc>
          <w:tcPr>
            <w:tcW w:type="dxa" w:w="16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Difference from this study</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Marshall 2026, JMCP</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Prime Therapeutics commercial medical and pharmacy claims,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without diabetes newly starting Wegovy or Zepbound, 2021 to mid-2024</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1-year persistence and adherence by drug and year</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Descriptive and unadjusted; no utilization or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Miller 2026, Mil Med</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Military Health System database,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Active-duty service members starting Saxenda, Wegovy or Zepbound</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Persistence, PDC; adjusted Cox model (HR 0.67, Zepbound vs Wegovy)</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Young, healthy population without cost sharing; no utilization or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Hepşen 2026, Obes Facts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Multicenter clinical records, Turkey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 obesity, with or without T2D</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Adverse events, discontinuation, weight to 6 months</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Non-U.S.; 6-month follow-up; no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Samuels 2025, DOM</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Single academic obesity clinic,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Program enrollees using semaglutide and/or tirzepatide</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Persistence, titration, weight</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Single center; not a head-to-head adjusted comparison; no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Rodriguez 2024, JAMA Intern Med</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Multi-system EHR with dispensing data,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 overweight or obesity using diabetes-labeled products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Weight loss, GI adverse events</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Diabetes-labeled products; no persistence or cost outcomes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Ng 2025, Adv Ther (SHAPE)</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Komodo Health claims,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without T2D persistent on therapy for 1 year</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Weight change</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Restricted to persistent patients; descriptive; no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Cetiner 2026, DMSO</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Single private clinic, Turkey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without diabetes treated at least 36 weeks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Weight, metabolic markers, adverse events</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Non-U.S.; single center; no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Richards 2025, JMIR Form Res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Remote weight management program, UK</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Program participants completing 12 months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Weight; estimated program cost-effectiveness</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Completers only; program costs, not healthcare costs</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Hoog 2026, JMCP</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Healthcare Integrated Research Database claims, U.S.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Adults with T2D starting Mounjaro or Ozempic</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Persistence, adherence, diabetes-related pharmacy cost per responder</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T2D population; pharmacy costs only</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Qadeer 2026, Diab Vasc Dis Res</w:t>
            </w:r>
          </w:p>
        </w:tc>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TriNetX EHR network</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Older adults with obesity and T2D</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Mortality, MACE, hospitalization/ED use, GI events</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rFonts w:ascii="Calibri" w:cs="Calibri" w:eastAsia="Calibri" w:hAnsi="Calibri"/>
                <w:b w:val="false"/>
                <w:bCs w:val="false"/>
                <w:sz w:val="17"/>
                <w:szCs w:val="17"/>
              </w:rPr>
              <w:t xml:space="preserve">T2D population; no costs or persistence</w:t>
            </w:r>
          </w:p>
        </w:tc>
      </w:tr>
    </w:tbl>
    <w:p>
      <w:pPr>
        <w:spacing w:before="120"/>
      </w:pPr>
      <w:r>
        <w:rPr>
          <w:rFonts w:ascii="Calibri" w:cs="Calibri" w:eastAsia="Calibri" w:hAnsi="Calibri"/>
          <w:sz w:val="22"/>
          <w:szCs w:val="22"/>
        </w:rPr>
        <w:t xml:space="preserve">Limitations of the search: only MEDLINE (via PubMed) was searched. Embase, conference abstracts (for example ISPOR and ADA) and grey literature were not searched, so recently presented work may have been missed.</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none"/>
      <w:lvlJc w:val="left"/>
      <w:pP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2026-10-08T01:29:54.971Z</dcterms:created>
  <dcterms:modified xsi:type="dcterms:W3CDTF">2026-10-08T01:29:54.971Z</dcterms:modified>
</cp:coreProperties>
</file>

<file path=docProps/custom.xml><?xml version="1.0" encoding="utf-8"?>
<Properties xmlns="http://schemas.openxmlformats.org/officeDocument/2006/custom-properties" xmlns:vt="http://schemas.openxmlformats.org/officeDocument/2006/docPropsVTypes"/>
</file>