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A Step-by-Step Approach to Answering a Research Question</w:t>
      </w:r>
    </w:p>
    <w:p>
      <w:pPr>
        <w:pBdr>
          <w:bottom w:val="single" w:color="1F4E79" w:sz="6" w:space="6"/>
        </w:pBd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12-step workflow for epidemiology and HEOR studies using real-world data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Research question and knowledge gap, then aims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with a focused question that fills a clear gap in what is known. Frame it with PICO/PECO (population, exposure, comparator, outcome) so each element can later be defined operationally.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State the knowledge gap in one or two sentences.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Draft a primary aim and any secondary aims; keep them rough at this stage.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 HEOR, name the decision-maker perspective (payer, health system, societal) and the time horizon early.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Literature review, then refine the aims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 literature to confirm the gap is real, learn how others defined exposures and outcomes, and identify known confounders and effect modifiers.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Note prior study designs, data sources, effect sizes and stated limitations.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Record candidate confounders and plausible effect modifiers for later pre-specification.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Revise the aims if the gap has narrowed or the question needs a sharper angle.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Study design: population, exposure, outcome, time windows, and a DAG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is the most important design step. Choose the design and define every element operationally before touching the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Design:</w:t>
      </w:r>
      <w:r>
        <w:rPr>
          <w:rFonts w:ascii="Calibri" w:cs="Calibri" w:eastAsia="Calibri" w:hAnsi="Calibri"/>
          <w:sz w:val="22"/>
          <w:szCs w:val="22"/>
        </w:rPr>
        <w:t xml:space="preserve"> cohort, case-control, cross-sectional, disproportionality (e.g., FAERS), or target trial emulation.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Define eligibility criteria, exposure, comparator, outcome, index date, washout/look-back period and follow-up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Draw a DAG to justify which variables to adjust for and to avoid adjusting for mediators or colliders.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 HEOR, define economic or utilization outcomes (costs, resource use, QALYs).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Data source and feasibility check (revise the aims if needed)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chosen data source can actually answer the question before committing to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that the exposure, outcome and key confounders are captured, and how well.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Estimate the expected sample size and power for the primary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Understand known data quirks (coding systems, reporting biases, missingness patterns).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Revise the question or aims if the data cannot support them.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Protocol and SAP, with key decisions pre-specified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protocol and statistical analysis plan before analysis begins. Pre-specification protects against post-hoc decisions, even unintentional 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Model:</w:t>
      </w:r>
      <w:r>
        <w:rPr>
          <w:rFonts w:ascii="Calibri" w:cs="Calibri" w:eastAsia="Calibri" w:hAnsi="Calibri"/>
          <w:sz w:val="22"/>
          <w:szCs w:val="22"/>
        </w:rPr>
        <w:t xml:space="preserve"> chosen to fit the outcome type and design (logistic, Poisson/negative binomial, Cox, GLM; for skewed costs, a gamma GLM with log link or a two-part model).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Covariates:</w:t>
      </w:r>
      <w:r>
        <w:rPr>
          <w:rFonts w:ascii="Calibri" w:cs="Calibri" w:eastAsia="Calibri" w:hAnsi="Calibri"/>
          <w:sz w:val="22"/>
          <w:szCs w:val="22"/>
        </w:rPr>
        <w:t xml:space="preserve"> the adjustment set from the DAG.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Missing data:</w:t>
      </w:r>
      <w:r>
        <w:rPr>
          <w:rFonts w:ascii="Calibri" w:cs="Calibri" w:eastAsia="Calibri" w:hAnsi="Calibri"/>
          <w:sz w:val="22"/>
          <w:szCs w:val="22"/>
        </w:rPr>
        <w:t xml:space="preserve"> planned characterization (MCAR/MAR/MNAR) and handling method (complete case, multiple imputation), with a sensitivity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Subgroup and interaction analyses:</w:t>
      </w:r>
      <w:r>
        <w:rPr>
          <w:rFonts w:ascii="Calibri" w:cs="Calibri" w:eastAsia="Calibri" w:hAnsi="Calibri"/>
          <w:sz w:val="22"/>
          <w:szCs w:val="22"/>
        </w:rPr>
        <w:t xml:space="preserve"> hypothesis-driven, based on the literature.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Sensitivity analyses:</w:t>
      </w:r>
      <w:r>
        <w:rPr>
          <w:rFonts w:ascii="Calibri" w:cs="Calibri" w:eastAsia="Calibri" w:hAnsi="Calibri"/>
          <w:sz w:val="22"/>
          <w:szCs w:val="22"/>
        </w:rPr>
        <w:t xml:space="preserve"> alternative definitions, time windows and model specifications.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 and figure shells:</w:t>
      </w:r>
      <w:r>
        <w:rPr>
          <w:rFonts w:ascii="Calibri" w:cs="Calibri" w:eastAsia="Calibri" w:hAnsi="Calibri"/>
          <w:sz w:val="22"/>
          <w:szCs w:val="22"/>
        </w:rPr>
        <w:t xml:space="preserve"> the planned deliverables, drafted empty.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Reporting guideline:</w:t>
      </w:r>
      <w:r>
        <w:rPr>
          <w:rFonts w:ascii="Calibri" w:cs="Calibri" w:eastAsia="Calibri" w:hAnsi="Calibri"/>
          <w:sz w:val="22"/>
          <w:szCs w:val="22"/>
        </w:rPr>
        <w:t xml:space="preserve"> STROBE/RECORD (observational), READUS-PV (disproportionality), CHEERS 2022 (economic evaluation).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Ethics, IRB and registration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Secure approvals and make the plan public before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Obtain IRB approval or a documented exemption.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Complete any data use agreements.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Register the protocol (e.g., ENCePP/EU PAS Register or OSF) to show the plan preceded the results.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Data management, cleaning and the analytic cohort (with a flow diagram)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the analytic dataset transparently and reproducibly.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Apply inclusion and exclusion criteria step by step and show the counts in a flow diagram.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Clean and recode variables; log every data-cleaning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Characterize missingness, then apply the pre-specified handling method.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 version-controlled code and, ideally, an independent QC check of key outputs.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Descriptive analysis (Table 1)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Describe the study population before modeling.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Summarize baseline characteristics overall and by exposure group.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Use standardized mean differences to show balance between groups.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Look at distributions to spot outliers, skewness (especially in cost data) and sparse categories.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Main model, then assumption checks and model fit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pre-specified primary model and confirm it is appropriate for the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Check named assumptions, such as linearity of continuous covariates, proportional hazards, absence of multicollinearity and correct link function.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Assess model fit with tools suited to the model (e.g., calibration, residual diagnostics, AIC/BIC).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Document any departures from the SAP and the reasons for them.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Pre-specified subgroup, interaction and sensitivity analyses, plus a bias analysis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how robust the main finding is, using only the analyses planned in the SAP.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Run planned subgroup and interaction analyses; avoid adding new ones after seeing results, or label any as exploratory.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Run planned sensitivity analyses on definitions, windows and model choices.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Probe selection, information and confounding bias with quantitative bias analysis, E-values or negative controls.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11. Interpretation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Explain what the results mean, not only whether they are statistically significant.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Report effect sizes with confidence intervals rather than relying on p-values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Weigh clinical as well as statistical significance.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Compare findings with prior studies and explain agreements and differences.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For HEOR, translate results for decision-makers (budget impact, value, policy relevance).</w:t>
      </w:r>
    </w:p>
    <w:p>
      <w:pPr>
        <w:pStyle w:val="Heading1"/>
        <w:keepNext/>
        <w:spacing w:after="8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12. Write-up following the chosen reporting guideline</w:t>
      </w:r>
    </w:p>
    <w:p>
      <w:pPr>
        <w:keepNext/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the paper in standard structure and use the reporting checklist to make sure nothing is missed.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Abstract, Introduction, Methods,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Discussion:</w:t>
      </w:r>
      <w:r>
        <w:rPr>
          <w:rFonts w:ascii="Calibri" w:cs="Calibri" w:eastAsia="Calibri" w:hAnsi="Calibri"/>
          <w:sz w:val="22"/>
          <w:szCs w:val="22"/>
        </w:rPr>
        <w:t xml:space="preserve"> key findings, comparison with the literature, strengths and limitations.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Conclusions, with implications for practice or policy as well as future research.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Complete the reporting checklist and share code or materials where possible.</w:t>
      </w:r>
    </w:p>
    <w:p>
      <w:pPr>
        <w:pStyle w:val="Heading1"/>
        <w:keepNext/>
        <w:pBdr>
          <w:top w:val="single" w:color="1F4E79" w:sz="6" w:space="8"/>
        </w:pBdr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Summary: The Tightened Sequence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Research question and knowledge gap, then aims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Literature review, then refine the aims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Study design: population, exposure, outcome, time windows, and a DAG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source and feasibility check (revise the aims if needed)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Protocol and SAP, with these pre-specified: model, covariates, missing-data approach, subgroup and interaction analyses, sensitivity analyses, and table and figure shells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Ethics, IRB and registration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management, cleaning and the analytic cohort (with a flow diagram)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Descriptive analysis (Table 1)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 model, then assumption checks and model fit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Pre-specified subgroup, interaction and sensitivity analyses, plus a bias analysis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Interpretation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Write-up following the chosen reporting guideline</w:t>
      </w:r>
    </w:p>
    <w:sectPr>
      <w:footerReference w:type="default" r:id="rId7"/>
      <w:pgSz w:w="12240" w:h="15840" w:orient="portrait"/>
      <w:pgMar w:top="1260" w:right="1300" w:bottom="126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2026-10-07T15:27:24.025Z</dcterms:created>
  <dcterms:modified xsi:type="dcterms:W3CDTF">2026-10-07T15:27:24.028Z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