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Beneficiary Change Form Guide. Business area: Policy Servicing. Audience: Customer. Content owner: Richard Talbot. Last reviewed age days: 45. Explains beneficiary change forms, identity checks, and policyholder next steps.</w:t>
      </w:r>
    </w:p>
  </w:body>
</w:document>
</file>