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Beneficiary Change Form Guide. Business area: Policy Servicing. Audience: Customer. Content owner: Content Owner 02. Author: Sample Author 01. Language: English. Country of origin: United States. Sentiment: Positive. Approval status: Approved. Last reviewed age days: 45. Explains identity checks and beneficiary updates. Clear examples help policyholders prepare complete forms on the first attempt.</w:t>
      </w:r>
    </w:p>
  </w:body>
</w:document>
</file>