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3801B" w14:textId="77777777" w:rsidR="00B06353" w:rsidRDefault="00B06353" w:rsidP="00B06353">
      <w:r>
        <w:t>1</w:t>
      </w:r>
      <w:r w:rsidRPr="00B06353">
        <w:rPr>
          <w:b/>
          <w:bCs/>
        </w:rPr>
        <w:tab/>
        <w:t>Sachverhaltsdarstellung</w:t>
      </w:r>
    </w:p>
    <w:p w14:paraId="179EFFC9" w14:textId="5ED6DDC1" w:rsidR="00B06353" w:rsidRDefault="00B06353" w:rsidP="00B06353">
      <w:r>
        <w:t xml:space="preserve">Die </w:t>
      </w:r>
      <w:r w:rsidR="00C30B24">
        <w:t>GmbH</w:t>
      </w:r>
      <w:r>
        <w:t xml:space="preserve"> ist eine </w:t>
      </w:r>
      <w:proofErr w:type="spellStart"/>
      <w:r>
        <w:t>iS</w:t>
      </w:r>
      <w:r w:rsidR="00C30B24">
        <w:t>v</w:t>
      </w:r>
      <w:proofErr w:type="spellEnd"/>
      <w:r>
        <w:t xml:space="preserve"> </w:t>
      </w:r>
      <w:r>
        <w:rPr>
          <w:rFonts w:hint="cs"/>
        </w:rPr>
        <w:t>§</w:t>
      </w:r>
      <w:r>
        <w:t xml:space="preserve"> 221 UGB kleine Holding mit Stichtag 30.9.</w:t>
      </w:r>
      <w:r w:rsidRPr="00B06353">
        <w:t xml:space="preserve"> </w:t>
      </w:r>
      <w:r>
        <w:t xml:space="preserve">Sie hält </w:t>
      </w:r>
      <w:r w:rsidR="00C30B24">
        <w:t xml:space="preserve">73,23% </w:t>
      </w:r>
      <w:r w:rsidR="00C33654">
        <w:t xml:space="preserve">der Anteile an der </w:t>
      </w:r>
      <w:r w:rsidR="00C30B24">
        <w:t>AI GmbH</w:t>
      </w:r>
      <w:r w:rsidR="00C33654">
        <w:t xml:space="preserve"> und </w:t>
      </w:r>
      <w:r w:rsidR="00C30B24">
        <w:t>48</w:t>
      </w:r>
      <w:r w:rsidR="00C33654">
        <w:t xml:space="preserve">% der Anteile an der W AG. Die </w:t>
      </w:r>
      <w:r w:rsidR="00C30B24">
        <w:t xml:space="preserve">AI </w:t>
      </w:r>
      <w:r w:rsidR="00C30B24">
        <w:t>GmbH</w:t>
      </w:r>
      <w:r w:rsidR="00C30B24">
        <w:t xml:space="preserve"> </w:t>
      </w:r>
      <w:r w:rsidR="00C33654">
        <w:t xml:space="preserve">hält wiederum </w:t>
      </w:r>
      <w:r w:rsidR="00C30B24">
        <w:t>33,86</w:t>
      </w:r>
      <w:r w:rsidR="00C33654">
        <w:t xml:space="preserve">% an der B AG. </w:t>
      </w:r>
      <w:r>
        <w:t xml:space="preserve">Mit Dezember 2024 erwarb die </w:t>
      </w:r>
      <w:r w:rsidR="00C30B24">
        <w:t>GmbH</w:t>
      </w:r>
      <w:r>
        <w:t xml:space="preserve"> 100% der Anteile an einer Mantelgesellschaft </w:t>
      </w:r>
      <w:r>
        <w:rPr>
          <w:rFonts w:hint="cs"/>
        </w:rPr>
        <w:t>„</w:t>
      </w:r>
      <w:r>
        <w:t>Beteiligungsholding GmbH</w:t>
      </w:r>
      <w:r>
        <w:rPr>
          <w:rFonts w:hint="cs"/>
        </w:rPr>
        <w:t>“</w:t>
      </w:r>
      <w:r>
        <w:t xml:space="preserve"> und unterschrieb einen Kaufvertrag </w:t>
      </w:r>
      <w:r>
        <w:rPr>
          <w:rFonts w:hint="cs"/>
        </w:rPr>
        <w:t>ü</w:t>
      </w:r>
      <w:r>
        <w:t>ber die</w:t>
      </w:r>
      <w:r w:rsidR="00C33654">
        <w:t xml:space="preserve"> restlichen </w:t>
      </w:r>
      <w:r w:rsidR="00C30B24">
        <w:t>52</w:t>
      </w:r>
      <w:r>
        <w:t>%-Anteil</w:t>
      </w:r>
      <w:r w:rsidR="00C33654">
        <w:t>e</w:t>
      </w:r>
      <w:r>
        <w:t xml:space="preserve"> an der </w:t>
      </w:r>
      <w:r w:rsidR="00C33654">
        <w:t>W</w:t>
      </w:r>
      <w:r>
        <w:t xml:space="preserve"> AG</w:t>
      </w:r>
      <w:r w:rsidR="00C33654">
        <w:t xml:space="preserve">. </w:t>
      </w:r>
      <w:r>
        <w:t xml:space="preserve">Das Closing dieses Anteilserwerbs erfolgte am </w:t>
      </w:r>
      <w:r w:rsidR="00C30B24">
        <w:t>16. Juni 202</w:t>
      </w:r>
      <w:r>
        <w:t xml:space="preserve">5. </w:t>
      </w:r>
    </w:p>
    <w:p w14:paraId="133EF0F4" w14:textId="27EE5303" w:rsidR="00B06353" w:rsidRDefault="00B06353" w:rsidP="00B06353">
      <w:r>
        <w:t xml:space="preserve">Es soll der Stichtag der </w:t>
      </w:r>
      <w:r w:rsidR="00C30B24">
        <w:t>GmbH</w:t>
      </w:r>
      <w:r>
        <w:t xml:space="preserve"> auf den 31.12.2025 gelegt werden, wodurch vom 1.10.2025 bis zum 31.12.2025 ein Rumpfgesch</w:t>
      </w:r>
      <w:r>
        <w:rPr>
          <w:rFonts w:hint="cs"/>
        </w:rPr>
        <w:t>ä</w:t>
      </w:r>
      <w:r>
        <w:t xml:space="preserve">ftsjahr aus Sicht der </w:t>
      </w:r>
      <w:r w:rsidR="00C30B24">
        <w:t>GmbH</w:t>
      </w:r>
      <w:r>
        <w:t xml:space="preserve"> entsteht. Der Stichtag der </w:t>
      </w:r>
      <w:r w:rsidR="00C30B24">
        <w:t xml:space="preserve">AI </w:t>
      </w:r>
      <w:r w:rsidR="00C30B24">
        <w:t>GmbH</w:t>
      </w:r>
      <w:r>
        <w:t xml:space="preserve"> soll weiterhin am 30.9. bleiben. Sowohl die B</w:t>
      </w:r>
      <w:r w:rsidR="00C33654">
        <w:t xml:space="preserve"> </w:t>
      </w:r>
      <w:r>
        <w:t xml:space="preserve">AG als auch die </w:t>
      </w:r>
      <w:r w:rsidR="00C33654">
        <w:t>W AG</w:t>
      </w:r>
      <w:r>
        <w:t xml:space="preserve"> haben den Stichtag 31.12. (weiterhin). Die </w:t>
      </w:r>
      <w:r w:rsidR="00C30B24">
        <w:t>GmbH</w:t>
      </w:r>
      <w:r>
        <w:t xml:space="preserve"> war bisher auskunftsgem</w:t>
      </w:r>
      <w:r>
        <w:rPr>
          <w:rFonts w:hint="cs"/>
        </w:rPr>
        <w:t>äß</w:t>
      </w:r>
      <w:r>
        <w:t xml:space="preserve"> aufgrund der gr</w:t>
      </w:r>
      <w:r>
        <w:rPr>
          <w:rFonts w:hint="cs"/>
        </w:rPr>
        <w:t>öß</w:t>
      </w:r>
      <w:r>
        <w:t>enabh</w:t>
      </w:r>
      <w:r>
        <w:rPr>
          <w:rFonts w:hint="cs"/>
        </w:rPr>
        <w:t>ä</w:t>
      </w:r>
      <w:r>
        <w:t xml:space="preserve">ngigen Befreiung des </w:t>
      </w:r>
      <w:r>
        <w:rPr>
          <w:rFonts w:hint="cs"/>
        </w:rPr>
        <w:t>§</w:t>
      </w:r>
      <w:r>
        <w:t xml:space="preserve"> 246 UGB von der Konzernrechnungslegungspflicht befreit. An den Abschlussstichtagen 30.09.2025 und 31.12.2025 wurden aufgrund des Erwerbs der W</w:t>
      </w:r>
      <w:r w:rsidR="00C33654">
        <w:t xml:space="preserve"> </w:t>
      </w:r>
      <w:r>
        <w:t>A</w:t>
      </w:r>
      <w:r w:rsidR="00C33654">
        <w:t>G</w:t>
      </w:r>
      <w:r>
        <w:t xml:space="preserve"> die Gr</w:t>
      </w:r>
      <w:r>
        <w:rPr>
          <w:rFonts w:hint="cs"/>
        </w:rPr>
        <w:t>öß</w:t>
      </w:r>
      <w:r>
        <w:t xml:space="preserve">enmerkmale des </w:t>
      </w:r>
      <w:r>
        <w:rPr>
          <w:rFonts w:hint="cs"/>
        </w:rPr>
        <w:t>§</w:t>
      </w:r>
      <w:r>
        <w:t xml:space="preserve"> 246 UGB </w:t>
      </w:r>
      <w:r>
        <w:rPr>
          <w:rFonts w:hint="cs"/>
        </w:rPr>
        <w:t>ü</w:t>
      </w:r>
      <w:r>
        <w:t xml:space="preserve">berschritten. </w:t>
      </w:r>
    </w:p>
    <w:p w14:paraId="70AE82F3" w14:textId="3176DF5F" w:rsidR="00B06353" w:rsidRDefault="00B06353" w:rsidP="00B06353">
      <w:r>
        <w:t xml:space="preserve">Weder die </w:t>
      </w:r>
      <w:r w:rsidR="00C30B24">
        <w:t>GmbH</w:t>
      </w:r>
      <w:r>
        <w:t xml:space="preserve"> als Mutterunternehmen der W AG (seit </w:t>
      </w:r>
      <w:r w:rsidR="003E7717">
        <w:t>16.6.2025</w:t>
      </w:r>
      <w:r>
        <w:t xml:space="preserve">) noch die </w:t>
      </w:r>
      <w:r w:rsidR="00C33654">
        <w:t>W AG</w:t>
      </w:r>
      <w:r>
        <w:t xml:space="preserve"> sind kapitalmarktorientiert. Gleichwohl ist die W AG seit geraumer Zeit an einen IFRS-Konzernabschluss </w:t>
      </w:r>
      <w:r>
        <w:rPr>
          <w:rFonts w:hint="cs"/>
        </w:rPr>
        <w:t>„</w:t>
      </w:r>
      <w:r>
        <w:t>gew</w:t>
      </w:r>
      <w:r>
        <w:rPr>
          <w:rFonts w:hint="cs"/>
        </w:rPr>
        <w:t>ö</w:t>
      </w:r>
      <w:r>
        <w:t>hnt</w:t>
      </w:r>
      <w:r>
        <w:rPr>
          <w:rFonts w:hint="cs"/>
        </w:rPr>
        <w:t>“</w:t>
      </w:r>
      <w:r w:rsidR="00C33654">
        <w:t xml:space="preserve"> (sie hat einen eigenen IFRS-Teilkonzernabschluss freiwillig erstellt)</w:t>
      </w:r>
      <w:r>
        <w:t xml:space="preserve">. Im Ergebnis soll daher die </w:t>
      </w:r>
      <w:r w:rsidR="00C30B24">
        <w:t>GmbH</w:t>
      </w:r>
      <w:r>
        <w:t xml:space="preserve"> k</w:t>
      </w:r>
      <w:r>
        <w:rPr>
          <w:rFonts w:hint="cs"/>
        </w:rPr>
        <w:t>ü</w:t>
      </w:r>
      <w:r>
        <w:t xml:space="preserve">nftig einen befreienden IFRS-Konzernabschluss nach </w:t>
      </w:r>
      <w:r>
        <w:rPr>
          <w:rFonts w:hint="cs"/>
        </w:rPr>
        <w:t>§</w:t>
      </w:r>
      <w:r>
        <w:t xml:space="preserve"> 245a UGB aufstellen.</w:t>
      </w:r>
    </w:p>
    <w:p w14:paraId="71E29AF6" w14:textId="7C0C5DE6" w:rsidR="00B06353" w:rsidRDefault="00B06353" w:rsidP="00B06353">
      <w:r w:rsidRPr="00C33654">
        <w:rPr>
          <w:b/>
          <w:bCs/>
        </w:rPr>
        <w:t>Fragestellung:</w:t>
      </w:r>
      <w:r>
        <w:t xml:space="preserve"> Zu welchem Stichtag muss die </w:t>
      </w:r>
      <w:r w:rsidR="00C30B24">
        <w:t>GmbH</w:t>
      </w:r>
      <w:r>
        <w:t xml:space="preserve"> erstmals einen Konzernabschluss aufstellen? Zu welchem Zeitpunkt ist die IFRS-Eröffnungsbilanz zu erstellen? Was ist die Vergleichsperiode? Wie erfolgt die Erstkonsolidierung der Tochterunternehmen nach IFRS (</w:t>
      </w:r>
      <w:proofErr w:type="spellStart"/>
      <w:r>
        <w:t>insb</w:t>
      </w:r>
      <w:proofErr w:type="spellEnd"/>
      <w:r>
        <w:t xml:space="preserve"> zu welchem Zeitpunkt)?</w:t>
      </w:r>
    </w:p>
    <w:p w14:paraId="1D5FC4C8" w14:textId="77777777" w:rsidR="00B06353" w:rsidRDefault="00B06353" w:rsidP="00B06353">
      <w:r>
        <w:t>2</w:t>
      </w:r>
      <w:r>
        <w:tab/>
      </w:r>
      <w:r w:rsidRPr="00E11082">
        <w:rPr>
          <w:b/>
          <w:bCs/>
        </w:rPr>
        <w:t>Rechtliche W</w:t>
      </w:r>
      <w:r w:rsidRPr="00E11082">
        <w:rPr>
          <w:rFonts w:hint="cs"/>
          <w:b/>
          <w:bCs/>
        </w:rPr>
        <w:t>ü</w:t>
      </w:r>
      <w:r w:rsidRPr="00E11082">
        <w:rPr>
          <w:b/>
          <w:bCs/>
        </w:rPr>
        <w:t>rdigung</w:t>
      </w:r>
    </w:p>
    <w:p w14:paraId="7E0CF868" w14:textId="714A9A64" w:rsidR="00B06353" w:rsidRDefault="00B06353" w:rsidP="00B06353">
      <w:r>
        <w:t xml:space="preserve">Gem </w:t>
      </w:r>
      <w:r>
        <w:rPr>
          <w:rFonts w:hint="cs"/>
        </w:rPr>
        <w:t>§</w:t>
      </w:r>
      <w:r>
        <w:t xml:space="preserve"> 246 Abs 2 UGB treten die Rechtsfolgen der Merkmale gem</w:t>
      </w:r>
      <w:r>
        <w:rPr>
          <w:rFonts w:hint="cs"/>
        </w:rPr>
        <w:t>äß</w:t>
      </w:r>
      <w:r>
        <w:t xml:space="preserve"> </w:t>
      </w:r>
      <w:r>
        <w:rPr>
          <w:rFonts w:hint="cs"/>
        </w:rPr>
        <w:t>§</w:t>
      </w:r>
      <w:r>
        <w:t xml:space="preserve"> 246 Abs 1 Z 1 und 2 UGB ab dem folgenden Gesch</w:t>
      </w:r>
      <w:r>
        <w:rPr>
          <w:rFonts w:hint="cs"/>
        </w:rPr>
        <w:t>ä</w:t>
      </w:r>
      <w:r>
        <w:t>ftsjahr ein, wenn die genannten Merkmale an zwei aufeinanderfolgenden Gesch</w:t>
      </w:r>
      <w:r>
        <w:rPr>
          <w:rFonts w:hint="cs"/>
        </w:rPr>
        <w:t>ä</w:t>
      </w:r>
      <w:r>
        <w:t xml:space="preserve">ftsjahren davor zutreffen. </w:t>
      </w:r>
      <w:r>
        <w:rPr>
          <w:rFonts w:hint="cs"/>
        </w:rPr>
        <w:t>§</w:t>
      </w:r>
      <w:r>
        <w:t xml:space="preserve"> 246 Abs 1 UGB legt </w:t>
      </w:r>
      <w:proofErr w:type="spellStart"/>
      <w:r>
        <w:t>hing</w:t>
      </w:r>
      <w:r w:rsidR="00C30B24">
        <w:t>GmbH</w:t>
      </w:r>
      <w:proofErr w:type="spellEnd"/>
      <w:r>
        <w:t xml:space="preserve"> fest, dass ein Mutterunternehmen von der Pflicht einen Konzernabschluss aufzustellen befreit ist, wenn am Abschlussstichtag und am vorhergehenden Abschlussstichtag die Gr</w:t>
      </w:r>
      <w:r>
        <w:rPr>
          <w:rFonts w:hint="cs"/>
        </w:rPr>
        <w:t>öß</w:t>
      </w:r>
      <w:r>
        <w:t xml:space="preserve">enmerkmale unterschritten werden. </w:t>
      </w:r>
    </w:p>
    <w:p w14:paraId="52A2A01F" w14:textId="53ACF7D4" w:rsidR="00B06353" w:rsidRDefault="00B06353" w:rsidP="00B06353">
      <w:r>
        <w:t xml:space="preserve">Den scheinbaren Widerspruch betreffend den zeitlichen Eintritt der Befreiung zwischen Abs 1 und Abs 2 hat der OGH inzwischen - der herrschenden Lehre folgend - klargestellt:  Die Befreiung des </w:t>
      </w:r>
      <w:r>
        <w:rPr>
          <w:rFonts w:hint="cs"/>
        </w:rPr>
        <w:t>§</w:t>
      </w:r>
      <w:r>
        <w:t xml:space="preserve"> 246 UGB tritt demnach bereits dann ein, wenn die Merkmale des </w:t>
      </w:r>
      <w:r>
        <w:rPr>
          <w:rFonts w:hint="cs"/>
        </w:rPr>
        <w:t>§</w:t>
      </w:r>
      <w:r>
        <w:t xml:space="preserve"> 246 Abs 1 UGB am Abschluss-stichtag und am vorhergehenden Abschlussstichtag zutreffen (</w:t>
      </w:r>
      <w:proofErr w:type="spellStart"/>
      <w:r>
        <w:t>dh</w:t>
      </w:r>
      <w:proofErr w:type="spellEnd"/>
      <w:r>
        <w:t xml:space="preserve"> im zweiten Gesch</w:t>
      </w:r>
      <w:r>
        <w:rPr>
          <w:rFonts w:hint="cs"/>
        </w:rPr>
        <w:t>ä</w:t>
      </w:r>
      <w:r>
        <w:t xml:space="preserve">ftsjahr). Der Wortlaut des </w:t>
      </w:r>
      <w:r>
        <w:rPr>
          <w:rFonts w:hint="cs"/>
        </w:rPr>
        <w:t>§</w:t>
      </w:r>
      <w:r>
        <w:t xml:space="preserve"> 246 Abs 1 UGB legt fest, dass ein Mutterunternehmen von der Pflicht zur Aufstellung eines Konzernabschlusses befreit ist, sofern die gesetzlich definierten Gr</w:t>
      </w:r>
      <w:r>
        <w:rPr>
          <w:rFonts w:hint="cs"/>
        </w:rPr>
        <w:t>öß</w:t>
      </w:r>
      <w:r>
        <w:t xml:space="preserve">enmerkmale am aktuellen Abschlussstichtag und am vorhergehenden Abschlussstichtag nicht </w:t>
      </w:r>
      <w:r>
        <w:rPr>
          <w:rFonts w:hint="cs"/>
        </w:rPr>
        <w:t>ü</w:t>
      </w:r>
      <w:r>
        <w:t xml:space="preserve">berschritten werden. Diese Bestimmung definiert </w:t>
      </w:r>
      <w:r>
        <w:lastRenderedPageBreak/>
        <w:t>somit nicht nur die materiellen Voraussetzungen, sondern legt bereits die unmittelbare Rechtsfolge (den Eintritt der Befreiung) fest, sobald die Kriterien an zwei aufeinanderfolgenden Stichtagen erf</w:t>
      </w:r>
      <w:r>
        <w:rPr>
          <w:rFonts w:hint="cs"/>
        </w:rPr>
        <w:t>ü</w:t>
      </w:r>
      <w:r>
        <w:t>llt sind.</w:t>
      </w:r>
    </w:p>
    <w:p w14:paraId="43E5A64B" w14:textId="0901543C" w:rsidR="00B06353" w:rsidRDefault="00B06353" w:rsidP="00B06353">
      <w:r>
        <w:t>Ein R</w:t>
      </w:r>
      <w:r>
        <w:rPr>
          <w:rFonts w:hint="cs"/>
        </w:rPr>
        <w:t>ü</w:t>
      </w:r>
      <w:r>
        <w:t>ckgriff auf Absatz 2 zur Begr</w:t>
      </w:r>
      <w:r>
        <w:rPr>
          <w:rFonts w:hint="cs"/>
        </w:rPr>
        <w:t>ü</w:t>
      </w:r>
      <w:r>
        <w:t>ndung des zeitlichen Eintritts der Befreiung ist daher nicht nur redundant, sondern steht im Widerspruch zum Wortlaut des Absatzes 1 (</w:t>
      </w:r>
      <w:r>
        <w:rPr>
          <w:rFonts w:hint="cs"/>
        </w:rPr>
        <w:t>„</w:t>
      </w:r>
      <w:r>
        <w:t>ist befreit</w:t>
      </w:r>
      <w:r>
        <w:rPr>
          <w:rFonts w:hint="cs"/>
        </w:rPr>
        <w:t>“</w:t>
      </w:r>
      <w:r>
        <w:t>). W</w:t>
      </w:r>
      <w:r>
        <w:rPr>
          <w:rFonts w:hint="cs"/>
        </w:rPr>
        <w:t>ü</w:t>
      </w:r>
      <w:r>
        <w:t>rde man Absatz 2 dahingehend wortw</w:t>
      </w:r>
      <w:r>
        <w:rPr>
          <w:rFonts w:hint="cs"/>
        </w:rPr>
        <w:t>ö</w:t>
      </w:r>
      <w:r>
        <w:t xml:space="preserve">rtlich </w:t>
      </w:r>
      <w:proofErr w:type="spellStart"/>
      <w:r>
        <w:t>ausl</w:t>
      </w:r>
      <w:r w:rsidR="00C30B24">
        <w:t>GmbH</w:t>
      </w:r>
      <w:proofErr w:type="spellEnd"/>
      <w:r>
        <w:t>, dass er den Eintritt der Befreiung regelt, w</w:t>
      </w:r>
      <w:r>
        <w:rPr>
          <w:rFonts w:hint="cs"/>
        </w:rPr>
        <w:t>ä</w:t>
      </w:r>
      <w:r>
        <w:t xml:space="preserve">re das Ergebnis richtlinienwidrig, weil der Wegfall der Befreiung nicht bereits im ersten Jahr des </w:t>
      </w:r>
      <w:r>
        <w:rPr>
          <w:rFonts w:hint="cs"/>
        </w:rPr>
        <w:t>Ü</w:t>
      </w:r>
      <w:r>
        <w:t>ber-schreitens der Merkmale eintreten darf, was jedoch mangels Anwendbarkeit des Abs 1 oder Abs 2 diesfalls so w</w:t>
      </w:r>
      <w:r>
        <w:rPr>
          <w:rFonts w:hint="cs"/>
        </w:rPr>
        <w:t>ä</w:t>
      </w:r>
      <w:r>
        <w:t>re. Art 6 Abs 3 der Konzern-RL erkl</w:t>
      </w:r>
      <w:r>
        <w:rPr>
          <w:rFonts w:hint="cs"/>
        </w:rPr>
        <w:t>ä</w:t>
      </w:r>
      <w:r>
        <w:t>rt Art 12 der Richtlinie 78/660/EWG (4. Bilanzricht-</w:t>
      </w:r>
      <w:proofErr w:type="gramStart"/>
      <w:r>
        <w:t>linie)  f</w:t>
      </w:r>
      <w:r>
        <w:rPr>
          <w:rFonts w:hint="cs"/>
        </w:rPr>
        <w:t>ü</w:t>
      </w:r>
      <w:r>
        <w:t>r</w:t>
      </w:r>
      <w:proofErr w:type="gramEnd"/>
      <w:r>
        <w:t xml:space="preserve"> anwendbar, dem zufolge sich das </w:t>
      </w:r>
      <w:r>
        <w:rPr>
          <w:rFonts w:hint="cs"/>
        </w:rPr>
        <w:t>Ü</w:t>
      </w:r>
      <w:r>
        <w:t>berschreiten oder Unterschreiten der Gr</w:t>
      </w:r>
      <w:r>
        <w:rPr>
          <w:rFonts w:hint="cs"/>
        </w:rPr>
        <w:t>öß</w:t>
      </w:r>
      <w:r>
        <w:t>enmerk-male zum Bilanzstichtag auf die Anwendung der Ausnahmen nur dann auswirkt, wenn die Umst</w:t>
      </w:r>
      <w:r>
        <w:rPr>
          <w:rFonts w:hint="cs"/>
        </w:rPr>
        <w:t>ä</w:t>
      </w:r>
      <w:r>
        <w:t>nde w</w:t>
      </w:r>
      <w:r>
        <w:rPr>
          <w:rFonts w:hint="cs"/>
        </w:rPr>
        <w:t>ä</w:t>
      </w:r>
      <w:r>
        <w:t>hrend zweier aufeinander folgender Gesch</w:t>
      </w:r>
      <w:r>
        <w:rPr>
          <w:rFonts w:hint="cs"/>
        </w:rPr>
        <w:t>ä</w:t>
      </w:r>
      <w:r>
        <w:t xml:space="preserve">ftsjahre fortbestanden haben. Daraus ergibt sich, dass </w:t>
      </w:r>
      <w:r>
        <w:rPr>
          <w:rFonts w:hint="cs"/>
        </w:rPr>
        <w:t>Ä</w:t>
      </w:r>
      <w:r>
        <w:t>nderungen nicht bereits in dem Jahr eintreten d</w:t>
      </w:r>
      <w:r>
        <w:rPr>
          <w:rFonts w:hint="cs"/>
        </w:rPr>
        <w:t>ü</w:t>
      </w:r>
      <w:r>
        <w:t xml:space="preserve">rfen, in dem die Merkmale erstmalig unter- oder </w:t>
      </w:r>
      <w:r>
        <w:rPr>
          <w:rFonts w:hint="cs"/>
        </w:rPr>
        <w:t>ü</w:t>
      </w:r>
      <w:r>
        <w:t>berschritten werden.</w:t>
      </w:r>
    </w:p>
    <w:p w14:paraId="5C296DB3" w14:textId="6139C806" w:rsidR="00B06353" w:rsidRDefault="00B06353" w:rsidP="00B06353">
      <w:r>
        <w:t xml:space="preserve">In gemeinschaftskonformer Interpretation regelt daher Abs 2 nicht den Eintritt der Befreiung, sondern deren Wegfall (Eintritt der Konzernrechnungslegungspflicht). Nach Auffassung des OGH ist </w:t>
      </w:r>
      <w:r>
        <w:rPr>
          <w:rFonts w:hint="cs"/>
        </w:rPr>
        <w:t>§</w:t>
      </w:r>
      <w:r>
        <w:t xml:space="preserve"> 246 demnach dahingehend </w:t>
      </w:r>
      <w:proofErr w:type="spellStart"/>
      <w:r>
        <w:t>auszul</w:t>
      </w:r>
      <w:r w:rsidR="00C30B24">
        <w:t>GmbH</w:t>
      </w:r>
      <w:proofErr w:type="spellEnd"/>
      <w:r>
        <w:t>, dass Abs 2 anordnet, dass nach mindestens zweimaligem hintereinander erfolgendem Unterschreiten der Gr</w:t>
      </w:r>
      <w:r>
        <w:rPr>
          <w:rFonts w:hint="cs"/>
        </w:rPr>
        <w:t>öß</w:t>
      </w:r>
      <w:r>
        <w:t>enkriterien eine Pflicht zur Aufstellung eines Konzernabschlusses nicht schon dann besteht, wenn die Gr</w:t>
      </w:r>
      <w:r>
        <w:rPr>
          <w:rFonts w:hint="cs"/>
        </w:rPr>
        <w:t>öß</w:t>
      </w:r>
      <w:r>
        <w:t xml:space="preserve">enkriterien erstmalig nicht mehr unterschritten werden, sondern erst im darauffolgenden </w:t>
      </w:r>
      <w:proofErr w:type="gramStart"/>
      <w:r>
        <w:t>Jahr .</w:t>
      </w:r>
      <w:proofErr w:type="gramEnd"/>
      <w:r>
        <w:t xml:space="preserve"> Dies ist wohl dahingehend zu verstehen, dass im 3. GJ nach zweimaligem Unterschreiten (ohnehin) die Befreiung nach Abs 2 gilt (unabh</w:t>
      </w:r>
      <w:r>
        <w:rPr>
          <w:rFonts w:hint="cs"/>
        </w:rPr>
        <w:t>ä</w:t>
      </w:r>
      <w:r>
        <w:t>ngig von den Gr</w:t>
      </w:r>
      <w:r>
        <w:rPr>
          <w:rFonts w:hint="cs"/>
        </w:rPr>
        <w:t>öß</w:t>
      </w:r>
      <w:r>
        <w:t xml:space="preserve">enmerkmalen) und ein darauffolgendes </w:t>
      </w:r>
      <w:r>
        <w:rPr>
          <w:rFonts w:hint="cs"/>
        </w:rPr>
        <w:t>Ü</w:t>
      </w:r>
      <w:r>
        <w:t xml:space="preserve">berschreiten nicht schon in dem Jahr des </w:t>
      </w:r>
      <w:r>
        <w:rPr>
          <w:rFonts w:hint="cs"/>
        </w:rPr>
        <w:t>Ü</w:t>
      </w:r>
      <w:r>
        <w:t>berschreitens zur Pflicht eines Konzernabschlusses f</w:t>
      </w:r>
      <w:r>
        <w:rPr>
          <w:rFonts w:hint="cs"/>
        </w:rPr>
        <w:t>ü</w:t>
      </w:r>
      <w:r>
        <w:t xml:space="preserve">hrt, sondern erst </w:t>
      </w:r>
      <w:proofErr w:type="gramStart"/>
      <w:r>
        <w:t>im darauffolgen</w:t>
      </w:r>
      <w:proofErr w:type="gramEnd"/>
      <w:r>
        <w:t xml:space="preserve">-den </w:t>
      </w:r>
      <w:proofErr w:type="gramStart"/>
      <w:r>
        <w:t>Jahr .</w:t>
      </w:r>
      <w:proofErr w:type="gramEnd"/>
      <w:r>
        <w:t xml:space="preserve"> Zudem ist ebenfalls ins Treffen zu f</w:t>
      </w:r>
      <w:r>
        <w:rPr>
          <w:rFonts w:hint="cs"/>
        </w:rPr>
        <w:t>ü</w:t>
      </w:r>
      <w:r>
        <w:t xml:space="preserve">hren, dass selbst wenn die Orientierung des </w:t>
      </w:r>
      <w:r>
        <w:rPr>
          <w:rFonts w:hint="cs"/>
        </w:rPr>
        <w:t>§</w:t>
      </w:r>
      <w:r>
        <w:t xml:space="preserve"> 246 UGB an </w:t>
      </w:r>
      <w:r>
        <w:rPr>
          <w:rFonts w:hint="cs"/>
        </w:rPr>
        <w:t>§</w:t>
      </w:r>
      <w:r>
        <w:t xml:space="preserve"> 221 UGB, welcher einen 2-Jahreswirkungsmechanmismus f</w:t>
      </w:r>
      <w:r>
        <w:rPr>
          <w:rFonts w:hint="cs"/>
        </w:rPr>
        <w:t>ü</w:t>
      </w:r>
      <w:r>
        <w:t>r den Eintritt der Rechtsfolge im darauffolgenden Jahr vorsieht, als verungl</w:t>
      </w:r>
      <w:r>
        <w:rPr>
          <w:rFonts w:hint="cs"/>
        </w:rPr>
        <w:t>ü</w:t>
      </w:r>
      <w:r>
        <w:t xml:space="preserve">ckt anzusehen ist, so ist doch anzuerkennen, dass diese </w:t>
      </w:r>
      <w:r>
        <w:rPr>
          <w:rFonts w:hint="cs"/>
        </w:rPr>
        <w:t>§§</w:t>
      </w:r>
      <w:r>
        <w:t xml:space="preserve"> auf der gleichen gemeinschaftsrechtlichen Grundlage beruhen (Art 3 Abs 10 der Richtlinie 2013/34/EU</w:t>
      </w:r>
      <w:proofErr w:type="gramStart"/>
      <w:r>
        <w:t>) .</w:t>
      </w:r>
      <w:proofErr w:type="gramEnd"/>
      <w:r>
        <w:t xml:space="preserve"> </w:t>
      </w:r>
    </w:p>
    <w:p w14:paraId="3C625FCB" w14:textId="4F4D2705" w:rsidR="00B06353" w:rsidRDefault="00B06353" w:rsidP="00B06353">
      <w:r>
        <w:t xml:space="preserve">Zusammenfassend ist festzuhalten, dass ein einmaliges </w:t>
      </w:r>
      <w:r>
        <w:rPr>
          <w:rFonts w:hint="cs"/>
        </w:rPr>
        <w:t>Ü</w:t>
      </w:r>
      <w:r>
        <w:t xml:space="preserve">berschreiten </w:t>
      </w:r>
      <w:proofErr w:type="spellStart"/>
      <w:r>
        <w:t>gem</w:t>
      </w:r>
      <w:proofErr w:type="spellEnd"/>
      <w:r>
        <w:t xml:space="preserve"> Abs 2 keine Konzernrechnungslegungspflicht begr</w:t>
      </w:r>
      <w:r>
        <w:rPr>
          <w:rFonts w:hint="cs"/>
        </w:rPr>
        <w:t>ü</w:t>
      </w:r>
      <w:r>
        <w:t xml:space="preserve">nden kann und </w:t>
      </w:r>
      <w:r>
        <w:rPr>
          <w:rFonts w:hint="cs"/>
        </w:rPr>
        <w:t>§</w:t>
      </w:r>
      <w:r>
        <w:t xml:space="preserve"> 246 Abs 2 UGB trotz seines engen Wortlauts im Sinne der Zug</w:t>
      </w:r>
      <w:r>
        <w:rPr>
          <w:rFonts w:hint="cs"/>
        </w:rPr>
        <w:t>ä</w:t>
      </w:r>
      <w:r>
        <w:t>nglichkeit einer gemeinschaftskonformen Auslegung die Rechtsfolge des Eintritts der Konzernrechnungslegungspflicht (Wegfall der Befreiung) regelt und zwar in einem Rhythmus, der ein zweimaliges Nichtzutreffen der Merkmale vorsieht, bevor ab dem folgenden Gesch</w:t>
      </w:r>
      <w:r>
        <w:rPr>
          <w:rFonts w:hint="cs"/>
        </w:rPr>
        <w:t>ä</w:t>
      </w:r>
      <w:r>
        <w:t>ftsjahr (demnach im dritten Gesch</w:t>
      </w:r>
      <w:r>
        <w:rPr>
          <w:rFonts w:hint="cs"/>
        </w:rPr>
        <w:t>ä</w:t>
      </w:r>
      <w:r>
        <w:t>ftsjahr) ein Konzernabschluss aufzustellen ist.</w:t>
      </w:r>
    </w:p>
    <w:p w14:paraId="2501BA93" w14:textId="43E93863" w:rsidR="00B06353" w:rsidRDefault="00B06353" w:rsidP="00B06353">
      <w:r>
        <w:t xml:space="preserve">Im </w:t>
      </w:r>
      <w:proofErr w:type="spellStart"/>
      <w:r>
        <w:t>vorli</w:t>
      </w:r>
      <w:r w:rsidR="00C30B24">
        <w:t>GmbH</w:t>
      </w:r>
      <w:r>
        <w:t>den</w:t>
      </w:r>
      <w:proofErr w:type="spellEnd"/>
      <w:r>
        <w:t xml:space="preserve"> Fall entsteht die Konzernrechnungslegungspflicht der </w:t>
      </w:r>
      <w:r w:rsidR="00C30B24">
        <w:t>GmbH</w:t>
      </w:r>
      <w:r>
        <w:t xml:space="preserve"> mit Entfall der Befreiung des </w:t>
      </w:r>
      <w:r>
        <w:rPr>
          <w:rFonts w:hint="cs"/>
        </w:rPr>
        <w:t>§</w:t>
      </w:r>
      <w:r>
        <w:t xml:space="preserve"> 246 UGB. Die Befreiung entf</w:t>
      </w:r>
      <w:r>
        <w:rPr>
          <w:rFonts w:hint="cs"/>
        </w:rPr>
        <w:t>ä</w:t>
      </w:r>
      <w:r>
        <w:t>llt den obigen Ausf</w:t>
      </w:r>
      <w:r>
        <w:rPr>
          <w:rFonts w:hint="cs"/>
        </w:rPr>
        <w:t>ü</w:t>
      </w:r>
      <w:r>
        <w:t>hrungen folgend ab dem Folge-jahr, wenn die Gr</w:t>
      </w:r>
      <w:r>
        <w:rPr>
          <w:rFonts w:hint="cs"/>
        </w:rPr>
        <w:t>öß</w:t>
      </w:r>
      <w:r>
        <w:t xml:space="preserve">enmerkmale des </w:t>
      </w:r>
      <w:r>
        <w:rPr>
          <w:rFonts w:hint="cs"/>
        </w:rPr>
        <w:t>§</w:t>
      </w:r>
      <w:r>
        <w:t xml:space="preserve"> 246 UGB an den zwei vorherigen </w:t>
      </w:r>
      <w:r>
        <w:lastRenderedPageBreak/>
        <w:t xml:space="preserve">Abschlussstichtagen </w:t>
      </w:r>
      <w:r>
        <w:rPr>
          <w:rFonts w:hint="cs"/>
        </w:rPr>
        <w:t>ü</w:t>
      </w:r>
      <w:r>
        <w:t xml:space="preserve">ber-schritten wurden </w:t>
      </w:r>
      <w:r>
        <w:rPr>
          <w:rFonts w:hint="cs"/>
        </w:rPr>
        <w:t>–</w:t>
      </w:r>
      <w:r>
        <w:t xml:space="preserve"> das bedeutet mit 1.1.2026. Zum 31.12.2026 ist erstmals nach nationalem Recht ein Konzernabschluss aufzustellen. Das bisherige Bestehen von Mutter-Tochter-Verh</w:t>
      </w:r>
      <w:r>
        <w:rPr>
          <w:rFonts w:hint="cs"/>
        </w:rPr>
        <w:t>ä</w:t>
      </w:r>
      <w:r>
        <w:t>ltnissen ist nicht ausschlaggebend f</w:t>
      </w:r>
      <w:r>
        <w:rPr>
          <w:rFonts w:hint="cs"/>
        </w:rPr>
        <w:t>ü</w:t>
      </w:r>
      <w:r>
        <w:t xml:space="preserve">r die </w:t>
      </w:r>
      <w:proofErr w:type="spellStart"/>
      <w:r>
        <w:t>vorli</w:t>
      </w:r>
      <w:r w:rsidR="00C30B24">
        <w:t>GmbH</w:t>
      </w:r>
      <w:r>
        <w:t>de</w:t>
      </w:r>
      <w:proofErr w:type="spellEnd"/>
      <w:r>
        <w:t xml:space="preserve"> Fragestellung des Zeitpunkts der Er</w:t>
      </w:r>
      <w:r>
        <w:rPr>
          <w:rFonts w:hint="cs"/>
        </w:rPr>
        <w:t>ö</w:t>
      </w:r>
      <w:r>
        <w:t>ffnungsbilanz, sondern die Frage der KRLG-Pflicht, welche erst mit Entfall der Befreiung entsteht und nicht zuvor (h</w:t>
      </w:r>
      <w:r>
        <w:rPr>
          <w:rFonts w:hint="cs"/>
        </w:rPr>
        <w:t>ä</w:t>
      </w:r>
      <w:r>
        <w:t>tte es diesfalls doch Konzernabschl</w:t>
      </w:r>
      <w:r>
        <w:rPr>
          <w:rFonts w:hint="cs"/>
        </w:rPr>
        <w:t>ü</w:t>
      </w:r>
      <w:r>
        <w:t xml:space="preserve">sse gegeben). Der Erwerb der Anteile an </w:t>
      </w:r>
      <w:r w:rsidR="00C33654">
        <w:t>W AG</w:t>
      </w:r>
      <w:r>
        <w:t xml:space="preserve"> mag zwar urs</w:t>
      </w:r>
      <w:r>
        <w:rPr>
          <w:rFonts w:hint="cs"/>
        </w:rPr>
        <w:t>ä</w:t>
      </w:r>
      <w:r>
        <w:t>chlich f</w:t>
      </w:r>
      <w:r>
        <w:rPr>
          <w:rFonts w:hint="cs"/>
        </w:rPr>
        <w:t>ü</w:t>
      </w:r>
      <w:r>
        <w:t xml:space="preserve">r das </w:t>
      </w:r>
      <w:r>
        <w:rPr>
          <w:rFonts w:hint="cs"/>
        </w:rPr>
        <w:t>Ü</w:t>
      </w:r>
      <w:r>
        <w:t>berschreiten der Gr</w:t>
      </w:r>
      <w:r>
        <w:rPr>
          <w:rFonts w:hint="cs"/>
        </w:rPr>
        <w:t>öß</w:t>
      </w:r>
      <w:r>
        <w:t>enmerkmale sein, doch ist dies im Hinblick auf den zwei-j</w:t>
      </w:r>
      <w:r>
        <w:rPr>
          <w:rFonts w:hint="cs"/>
        </w:rPr>
        <w:t>ä</w:t>
      </w:r>
      <w:r>
        <w:t xml:space="preserve">hrigen Wirkungsmechanismus des </w:t>
      </w:r>
      <w:r>
        <w:rPr>
          <w:rFonts w:hint="cs"/>
        </w:rPr>
        <w:t>§</w:t>
      </w:r>
      <w:r>
        <w:t xml:space="preserve"> 246 UGB nicht ma</w:t>
      </w:r>
      <w:r>
        <w:rPr>
          <w:rFonts w:hint="cs"/>
        </w:rPr>
        <w:t>ß</w:t>
      </w:r>
      <w:r>
        <w:t>geblich f</w:t>
      </w:r>
      <w:r>
        <w:rPr>
          <w:rFonts w:hint="cs"/>
        </w:rPr>
        <w:t>ü</w:t>
      </w:r>
      <w:r>
        <w:t>r den Zeitpunkt des Eintritts der KRLG-Pflicht.</w:t>
      </w:r>
    </w:p>
    <w:p w14:paraId="4E5F6C59" w14:textId="58A37BC4" w:rsidR="00B06353" w:rsidRDefault="00B06353" w:rsidP="00B06353">
      <w:r>
        <w:t xml:space="preserve">Berichtspflichtig </w:t>
      </w:r>
      <w:proofErr w:type="spellStart"/>
      <w:r>
        <w:t>iSd</w:t>
      </w:r>
      <w:proofErr w:type="spellEnd"/>
      <w:r>
        <w:t xml:space="preserve"> IFRS 1 wird die </w:t>
      </w:r>
      <w:r w:rsidR="00C30B24">
        <w:t>GmbH</w:t>
      </w:r>
      <w:r>
        <w:t xml:space="preserve"> erst mit Konzernierung (=die Pflicht zur Erstellung eines Konzernabschlusses und nicht das Bestehen eines Konzerns </w:t>
      </w:r>
      <w:proofErr w:type="spellStart"/>
      <w:r>
        <w:t>iSv</w:t>
      </w:r>
      <w:proofErr w:type="spellEnd"/>
      <w:r>
        <w:t xml:space="preserve"> Mutter-Tochter-Verh</w:t>
      </w:r>
      <w:r>
        <w:rPr>
          <w:rFonts w:hint="cs"/>
        </w:rPr>
        <w:t>ä</w:t>
      </w:r>
      <w:r>
        <w:t>ltnissen), was sich ausschlie</w:t>
      </w:r>
      <w:r>
        <w:rPr>
          <w:rFonts w:hint="cs"/>
        </w:rPr>
        <w:t>ß</w:t>
      </w:r>
      <w:r>
        <w:t>lich nach nationalem Recht richtet. Wir schlie</w:t>
      </w:r>
      <w:r>
        <w:rPr>
          <w:rFonts w:hint="cs"/>
        </w:rPr>
        <w:t>ß</w:t>
      </w:r>
      <w:r>
        <w:t xml:space="preserve">en uns aufgrund der dort </w:t>
      </w:r>
      <w:r>
        <w:rPr>
          <w:rFonts w:hint="cs"/>
        </w:rPr>
        <w:t>ä</w:t>
      </w:r>
      <w:r>
        <w:t>u</w:t>
      </w:r>
      <w:r>
        <w:rPr>
          <w:rFonts w:hint="cs"/>
        </w:rPr>
        <w:t>ß</w:t>
      </w:r>
      <w:r>
        <w:t>erst zutreffenden Ausf</w:t>
      </w:r>
      <w:r>
        <w:rPr>
          <w:rFonts w:hint="cs"/>
        </w:rPr>
        <w:t>ü</w:t>
      </w:r>
      <w:r>
        <w:t>hrungen dem ersten L</w:t>
      </w:r>
      <w:r>
        <w:rPr>
          <w:rFonts w:hint="cs"/>
        </w:rPr>
        <w:t>ö</w:t>
      </w:r>
      <w:r>
        <w:t>sungssatz von L</w:t>
      </w:r>
      <w:r>
        <w:rPr>
          <w:rFonts w:hint="cs"/>
        </w:rPr>
        <w:t>ü</w:t>
      </w:r>
      <w:r>
        <w:t>den-bach/Hoffmann/Freiberg an. Die Ansicht, dass die Erf</w:t>
      </w:r>
      <w:r>
        <w:rPr>
          <w:rFonts w:hint="cs"/>
        </w:rPr>
        <w:t>ü</w:t>
      </w:r>
      <w:r>
        <w:t>llung des Konzerntatbestands in GJ 2026 lediglich als Fortsetzung der bisherigen Unternehmenst</w:t>
      </w:r>
      <w:r>
        <w:rPr>
          <w:rFonts w:hint="cs"/>
        </w:rPr>
        <w:t>ä</w:t>
      </w:r>
      <w:r>
        <w:t xml:space="preserve">tigkeit anzusehen ist, ist </w:t>
      </w:r>
      <w:proofErr w:type="spellStart"/>
      <w:r>
        <w:t>uAn</w:t>
      </w:r>
      <w:proofErr w:type="spellEnd"/>
      <w:r>
        <w:t xml:space="preserve"> </w:t>
      </w:r>
      <w:proofErr w:type="spellStart"/>
      <w:r>
        <w:t>abzu</w:t>
      </w:r>
      <w:proofErr w:type="spellEnd"/>
      <w:r>
        <w:t>-lehnen.  Die Regelungen des IFRS k</w:t>
      </w:r>
      <w:r>
        <w:rPr>
          <w:rFonts w:hint="cs"/>
        </w:rPr>
        <w:t>ö</w:t>
      </w:r>
      <w:r>
        <w:t>nnen keine Konzernabschlussaufstellungspflicht f</w:t>
      </w:r>
      <w:r>
        <w:rPr>
          <w:rFonts w:hint="cs"/>
        </w:rPr>
        <w:t>ü</w:t>
      </w:r>
      <w:r>
        <w:t>r einen Zeit-raum (1.1.2025-31.12.2025) fordern, f</w:t>
      </w:r>
      <w:r>
        <w:rPr>
          <w:rFonts w:hint="cs"/>
        </w:rPr>
        <w:t>ü</w:t>
      </w:r>
      <w:r>
        <w:t>r den es nach nationalem Recht noch keinen KA gab.  Die Er</w:t>
      </w:r>
      <w:r>
        <w:rPr>
          <w:rFonts w:hint="cs"/>
        </w:rPr>
        <w:t>ö</w:t>
      </w:r>
      <w:r>
        <w:t>ffnungsbilanz ist auf den Zeitpunkt der Konzernierung aufzustellen (</w:t>
      </w:r>
      <w:proofErr w:type="spellStart"/>
      <w:r>
        <w:t>dh</w:t>
      </w:r>
      <w:proofErr w:type="spellEnd"/>
      <w:r>
        <w:t xml:space="preserve"> 1.1.2026). Die Angabe von Vorjahresvergleichszahlen entf</w:t>
      </w:r>
      <w:r>
        <w:rPr>
          <w:rFonts w:hint="cs"/>
        </w:rPr>
        <w:t>ä</w:t>
      </w:r>
      <w:r>
        <w:t xml:space="preserve">llt </w:t>
      </w:r>
      <w:proofErr w:type="spellStart"/>
      <w:r>
        <w:t>uE</w:t>
      </w:r>
      <w:proofErr w:type="spellEnd"/>
      <w:r>
        <w:t>. Eine Pflicht der Konzernrechnungslegung f</w:t>
      </w:r>
      <w:r>
        <w:rPr>
          <w:rFonts w:hint="cs"/>
        </w:rPr>
        <w:t>ü</w:t>
      </w:r>
      <w:r>
        <w:t>r den Zeit-raum 1.1.25-31.12.2025 l</w:t>
      </w:r>
      <w:r>
        <w:rPr>
          <w:rFonts w:hint="cs"/>
        </w:rPr>
        <w:t>ä</w:t>
      </w:r>
      <w:r>
        <w:t xml:space="preserve">sst sich aus IFRS 1 (nationalen Rechts </w:t>
      </w:r>
      <w:r>
        <w:rPr>
          <w:rFonts w:hint="cs"/>
        </w:rPr>
        <w:t>ü</w:t>
      </w:r>
      <w:r>
        <w:t xml:space="preserve">berschreitend) nicht ableiten. </w:t>
      </w:r>
    </w:p>
    <w:p w14:paraId="3DCC6F18" w14:textId="05832F4E" w:rsidR="00B06353" w:rsidRDefault="00B06353" w:rsidP="00B06353">
      <w:r>
        <w:t>Der Entfall der Vorjahreszahlen bei Wegfall einer bisherigen Befreiung der Konzernrechnungslegungspflicht ist auch in der nationalen Konzernrechnungslegung verankert. Diesfalls besteht nach UGB (in Analogie zu HGB) keine Pflicht zur Angabe von Vorjahreszahlen, weil das Mutterunternehmen f</w:t>
      </w:r>
      <w:r>
        <w:rPr>
          <w:rFonts w:hint="cs"/>
        </w:rPr>
        <w:t>ü</w:t>
      </w:r>
      <w:r>
        <w:t>r das Vorjahr nicht verpflichtet war, die erforderlichen Zahlen zu ermitteln (</w:t>
      </w:r>
      <w:proofErr w:type="spellStart"/>
      <w:r>
        <w:t>vgl</w:t>
      </w:r>
      <w:proofErr w:type="spellEnd"/>
      <w:r>
        <w:t xml:space="preserve"> IDW RS HFA 44 </w:t>
      </w:r>
      <w:proofErr w:type="spellStart"/>
      <w:r>
        <w:t>Rz</w:t>
      </w:r>
      <w:proofErr w:type="spellEnd"/>
      <w:r>
        <w:t xml:space="preserve"> 5).</w:t>
      </w:r>
    </w:p>
    <w:p w14:paraId="66CEC09C" w14:textId="4E30B238" w:rsidR="00B06353" w:rsidRDefault="00B06353" w:rsidP="00B06353">
      <w:r>
        <w:t xml:space="preserve">Im </w:t>
      </w:r>
      <w:proofErr w:type="spellStart"/>
      <w:r>
        <w:t>vorli</w:t>
      </w:r>
      <w:r w:rsidR="00C30B24">
        <w:t>GmbH</w:t>
      </w:r>
      <w:r>
        <w:t>den</w:t>
      </w:r>
      <w:proofErr w:type="spellEnd"/>
      <w:r>
        <w:t xml:space="preserve"> Fall ist </w:t>
      </w:r>
      <w:proofErr w:type="spellStart"/>
      <w:r>
        <w:t>gem</w:t>
      </w:r>
      <w:proofErr w:type="spellEnd"/>
      <w:r>
        <w:t xml:space="preserve"> IFRS 1.C4 (j) eine modifizierte Erstkonsolidierung aller Tochterunternehmen zum Zeitpunkt der IFRS-Er</w:t>
      </w:r>
      <w:r>
        <w:rPr>
          <w:rFonts w:hint="cs"/>
        </w:rPr>
        <w:t>ö</w:t>
      </w:r>
      <w:r>
        <w:t>ffnungsbilanz (1.1.2026) vorzunehmen. Es kommt zu keiner r</w:t>
      </w:r>
      <w:r>
        <w:rPr>
          <w:rFonts w:hint="cs"/>
        </w:rPr>
        <w:t>ü</w:t>
      </w:r>
      <w:r>
        <w:t>ckwirkenden Erstkonsolidierung (einheitlich nicht retrospektiv f</w:t>
      </w:r>
      <w:r>
        <w:rPr>
          <w:rFonts w:hint="cs"/>
        </w:rPr>
        <w:t>ü</w:t>
      </w:r>
      <w:r>
        <w:t>r alle TU). Am Stichtag der IFRS-Er</w:t>
      </w:r>
      <w:r>
        <w:rPr>
          <w:rFonts w:hint="cs"/>
        </w:rPr>
        <w:t>ö</w:t>
      </w:r>
      <w:r>
        <w:t>ffnungsbilanz sind die (anteiligen) IFRS-Verm</w:t>
      </w:r>
      <w:r>
        <w:rPr>
          <w:rFonts w:hint="cs"/>
        </w:rPr>
        <w:t>ö</w:t>
      </w:r>
      <w:r>
        <w:t>genswerte und -Schulden der TU mit den IFRS-Anschaffungskosten der Anteile an den Tochterunternehmen aufzurechnen. Es kommt zu keiner Aufdeckung von stillen Reserven (</w:t>
      </w:r>
      <w:proofErr w:type="spellStart"/>
      <w:r>
        <w:t>dh</w:t>
      </w:r>
      <w:proofErr w:type="spellEnd"/>
      <w:r>
        <w:t xml:space="preserve"> es ist auch keine </w:t>
      </w:r>
      <w:proofErr w:type="spellStart"/>
      <w:r>
        <w:t>purchase</w:t>
      </w:r>
      <w:proofErr w:type="spellEnd"/>
      <w:r>
        <w:t xml:space="preserve"> </w:t>
      </w:r>
      <w:proofErr w:type="spellStart"/>
      <w:r>
        <w:t>price</w:t>
      </w:r>
      <w:proofErr w:type="spellEnd"/>
      <w:r>
        <w:t xml:space="preserve"> </w:t>
      </w:r>
      <w:proofErr w:type="spellStart"/>
      <w:r>
        <w:t>allocation</w:t>
      </w:r>
      <w:proofErr w:type="spellEnd"/>
      <w:r>
        <w:t xml:space="preserve"> notwendig). Ein aktiver Unterschiedsbetrag wird als Firmenwert erfasst (</w:t>
      </w:r>
      <w:proofErr w:type="spellStart"/>
      <w:r>
        <w:t>vgl</w:t>
      </w:r>
      <w:proofErr w:type="spellEnd"/>
      <w:r>
        <w:t xml:space="preserve"> Bischof/Harms in Baetge, Rechnungslegung nach IFRS (2020), IFRS 1 </w:t>
      </w:r>
      <w:proofErr w:type="spellStart"/>
      <w:r>
        <w:t>Rz</w:t>
      </w:r>
      <w:proofErr w:type="spellEnd"/>
      <w:r>
        <w:t xml:space="preserve"> 105ff; Driesch in </w:t>
      </w:r>
      <w:proofErr w:type="spellStart"/>
      <w:r>
        <w:t>Beck</w:t>
      </w:r>
      <w:r>
        <w:rPr>
          <w:rFonts w:hint="cs"/>
        </w:rPr>
        <w:t>’</w:t>
      </w:r>
      <w:r>
        <w:t>sches</w:t>
      </w:r>
      <w:proofErr w:type="spellEnd"/>
      <w:r>
        <w:t xml:space="preserve"> IFRS-Handbuch</w:t>
      </w:r>
      <w:proofErr w:type="gramStart"/>
      <w:r>
        <w:t>6  (</w:t>
      </w:r>
      <w:proofErr w:type="gramEnd"/>
      <w:r>
        <w:t xml:space="preserve">2020), </w:t>
      </w:r>
      <w:r>
        <w:rPr>
          <w:rFonts w:hint="cs"/>
        </w:rPr>
        <w:t>§</w:t>
      </w:r>
      <w:r>
        <w:t xml:space="preserve"> 44 </w:t>
      </w:r>
      <w:proofErr w:type="spellStart"/>
      <w:r>
        <w:t>Rz</w:t>
      </w:r>
      <w:proofErr w:type="spellEnd"/>
      <w:r>
        <w:t xml:space="preserve"> 91ff). F</w:t>
      </w:r>
      <w:r>
        <w:rPr>
          <w:rFonts w:hint="cs"/>
        </w:rPr>
        <w:t>ü</w:t>
      </w:r>
      <w:r>
        <w:t xml:space="preserve">r den Firmenwert ist </w:t>
      </w:r>
      <w:proofErr w:type="spellStart"/>
      <w:r>
        <w:t>gem</w:t>
      </w:r>
      <w:proofErr w:type="spellEnd"/>
      <w:r>
        <w:t xml:space="preserve"> IFRS 1.C (g) (ii) zum 1.1.2026 ein Wertminderungstest nach IAS 36 durchzuf</w:t>
      </w:r>
      <w:r>
        <w:rPr>
          <w:rFonts w:hint="cs"/>
        </w:rPr>
        <w:t>ü</w:t>
      </w:r>
      <w:r>
        <w:t>hren. Bei selbst gegr</w:t>
      </w:r>
      <w:r>
        <w:rPr>
          <w:rFonts w:hint="cs"/>
        </w:rPr>
        <w:t>ü</w:t>
      </w:r>
      <w:r>
        <w:t xml:space="preserve">ndeten Tochterunternehmen darf kein Firmenwert angesetzt wer-den </w:t>
      </w:r>
      <w:r>
        <w:rPr>
          <w:rFonts w:hint="cs"/>
        </w:rPr>
        <w:t>–</w:t>
      </w:r>
      <w:r>
        <w:t xml:space="preserve"> diesfalls ist der sich ergebende Unterschiedsbetrag mit den Gewinnr</w:t>
      </w:r>
      <w:r>
        <w:rPr>
          <w:rFonts w:hint="cs"/>
        </w:rPr>
        <w:t>ü</w:t>
      </w:r>
      <w:r>
        <w:t xml:space="preserve">cklagen zu verrechnen. </w:t>
      </w:r>
    </w:p>
    <w:p w14:paraId="641A7AFD" w14:textId="77777777" w:rsidR="00E11082" w:rsidRDefault="00E11082" w:rsidP="00B06353"/>
    <w:p w14:paraId="24C01929" w14:textId="77777777" w:rsidR="00B06353" w:rsidRDefault="00B06353" w:rsidP="00B06353">
      <w:r>
        <w:lastRenderedPageBreak/>
        <w:t>3</w:t>
      </w:r>
      <w:r w:rsidRPr="00E11082">
        <w:rPr>
          <w:b/>
          <w:bCs/>
        </w:rPr>
        <w:tab/>
        <w:t>Zusammenfassung</w:t>
      </w:r>
    </w:p>
    <w:p w14:paraId="7891F05D" w14:textId="3D96F0E7" w:rsidR="00B06353" w:rsidRDefault="00B06353" w:rsidP="00B06353">
      <w:r>
        <w:t xml:space="preserve">Der Zukauf der </w:t>
      </w:r>
      <w:r w:rsidR="00C33654">
        <w:t>W AG</w:t>
      </w:r>
      <w:r>
        <w:t xml:space="preserve">-Anteile durch die </w:t>
      </w:r>
      <w:r w:rsidR="00C30B24">
        <w:t>GmbH</w:t>
      </w:r>
      <w:r>
        <w:t xml:space="preserve"> f</w:t>
      </w:r>
      <w:r>
        <w:rPr>
          <w:rFonts w:hint="cs"/>
        </w:rPr>
        <w:t>ü</w:t>
      </w:r>
      <w:r>
        <w:t xml:space="preserve">hrt zur erstmaligen Aufstellungspflicht eines Konzernabschlusses zum 31.12.2026 (mit Wegfall der Befreiung des </w:t>
      </w:r>
      <w:r>
        <w:rPr>
          <w:rFonts w:hint="cs"/>
        </w:rPr>
        <w:t>§</w:t>
      </w:r>
      <w:r>
        <w:t xml:space="preserve"> 246 Abs 2 UGB). Man hat sich entschieden, einen befreienden IFRS-Konzernabschluss nach </w:t>
      </w:r>
      <w:r>
        <w:rPr>
          <w:rFonts w:hint="cs"/>
        </w:rPr>
        <w:t>§</w:t>
      </w:r>
      <w:r>
        <w:t xml:space="preserve"> 245a UGB aufzustellen. Die IFRS-Er</w:t>
      </w:r>
      <w:r>
        <w:rPr>
          <w:rFonts w:hint="cs"/>
        </w:rPr>
        <w:t>ö</w:t>
      </w:r>
      <w:r>
        <w:t xml:space="preserve">ffnungsbilanz ist </w:t>
      </w:r>
      <w:proofErr w:type="spellStart"/>
      <w:r>
        <w:t>uE</w:t>
      </w:r>
      <w:proofErr w:type="spellEnd"/>
      <w:r>
        <w:t xml:space="preserve"> am 1.1.2026 aufzustellen. Eine Vergleichsperiode gibt es nicht. Demnach enth</w:t>
      </w:r>
      <w:r>
        <w:rPr>
          <w:rFonts w:hint="cs"/>
        </w:rPr>
        <w:t>ä</w:t>
      </w:r>
      <w:r>
        <w:t>lt der erste IFRS-KA nur 2 Bilanzen (Schlussbilanz Berichtsjahr 31.12.2026 und Er</w:t>
      </w:r>
      <w:r>
        <w:rPr>
          <w:rFonts w:hint="cs"/>
        </w:rPr>
        <w:t>ö</w:t>
      </w:r>
      <w:r>
        <w:t>ffnungsbilanz 1.1.2026) sowie die Gesamtergebnisrechnung, Kapitalflussrechnung, Eigenkapitalver</w:t>
      </w:r>
      <w:r>
        <w:rPr>
          <w:rFonts w:hint="cs"/>
        </w:rPr>
        <w:t>ä</w:t>
      </w:r>
      <w:r>
        <w:t xml:space="preserve">nderungsrechnung, sowie </w:t>
      </w:r>
      <w:proofErr w:type="spellStart"/>
      <w:r>
        <w:t>Anhangangaben</w:t>
      </w:r>
      <w:proofErr w:type="spellEnd"/>
      <w:r>
        <w:t xml:space="preserve"> betreffend GJ 2026. </w:t>
      </w:r>
    </w:p>
    <w:p w14:paraId="010F980C" w14:textId="785D7D70" w:rsidR="007A3E30" w:rsidRDefault="00B06353" w:rsidP="00B06353">
      <w:r>
        <w:t xml:space="preserve">Die erstmalige Einbeziehung in den IFRS-Konzernabschluss erfolgt </w:t>
      </w:r>
      <w:proofErr w:type="spellStart"/>
      <w:r>
        <w:t>gem</w:t>
      </w:r>
      <w:proofErr w:type="spellEnd"/>
      <w:r>
        <w:t xml:space="preserve"> IFRS 1.C4 (j) f</w:t>
      </w:r>
      <w:r>
        <w:rPr>
          <w:rFonts w:hint="cs"/>
        </w:rPr>
        <w:t>ü</w:t>
      </w:r>
      <w:r>
        <w:t xml:space="preserve">r die </w:t>
      </w:r>
      <w:r w:rsidR="00C30B24">
        <w:t>AI GMBH</w:t>
      </w:r>
      <w:r>
        <w:t xml:space="preserve"> und </w:t>
      </w:r>
      <w:r w:rsidR="00C33654">
        <w:t>W AG</w:t>
      </w:r>
      <w:r>
        <w:t xml:space="preserve"> per 1.1.2026 in modifizierter Form (keine r</w:t>
      </w:r>
      <w:r>
        <w:rPr>
          <w:rFonts w:hint="cs"/>
        </w:rPr>
        <w:t>ü</w:t>
      </w:r>
      <w:r>
        <w:t xml:space="preserve">ckwirkende Erstkonsolidierung), wobei die </w:t>
      </w:r>
      <w:r w:rsidR="00C30B24">
        <w:t>AI GMBH</w:t>
      </w:r>
      <w:r>
        <w:t xml:space="preserve"> aufgrund des abweichenden Stichtages (30.09) - sofern keine Ausnahme </w:t>
      </w:r>
      <w:proofErr w:type="spellStart"/>
      <w:r>
        <w:t>gem</w:t>
      </w:r>
      <w:proofErr w:type="spellEnd"/>
      <w:r>
        <w:t xml:space="preserve"> IFRS 10.B93 vorliegt - einen Zwischenabschluss zu erstellen hat.</w:t>
      </w:r>
    </w:p>
    <w:sectPr w:rsidR="007A3E3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18E2E" w14:textId="77777777" w:rsidR="00B06353" w:rsidRDefault="00B06353" w:rsidP="00B06353">
      <w:pPr>
        <w:spacing w:after="0" w:line="240" w:lineRule="auto"/>
      </w:pPr>
      <w:r>
        <w:separator/>
      </w:r>
    </w:p>
  </w:endnote>
  <w:endnote w:type="continuationSeparator" w:id="0">
    <w:p w14:paraId="0017704B" w14:textId="77777777" w:rsidR="00B06353" w:rsidRDefault="00B06353" w:rsidP="00B063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8C521" w14:textId="77777777" w:rsidR="00B06353" w:rsidRDefault="00B06353" w:rsidP="00B06353">
      <w:pPr>
        <w:spacing w:after="0" w:line="240" w:lineRule="auto"/>
      </w:pPr>
      <w:r>
        <w:separator/>
      </w:r>
    </w:p>
  </w:footnote>
  <w:footnote w:type="continuationSeparator" w:id="0">
    <w:p w14:paraId="58DCDDEA" w14:textId="77777777" w:rsidR="00B06353" w:rsidRDefault="00B06353" w:rsidP="00B0635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353"/>
    <w:rsid w:val="00183A34"/>
    <w:rsid w:val="001C4704"/>
    <w:rsid w:val="003C7923"/>
    <w:rsid w:val="003E7717"/>
    <w:rsid w:val="0060114C"/>
    <w:rsid w:val="007A3E30"/>
    <w:rsid w:val="00B06353"/>
    <w:rsid w:val="00C30B24"/>
    <w:rsid w:val="00C33654"/>
    <w:rsid w:val="00E1108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64FC9"/>
  <w15:chartTrackingRefBased/>
  <w15:docId w15:val="{483184E7-F071-4FFF-9A02-E6A50F52D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06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06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0635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0635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0635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0635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0635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0635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0635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0635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0635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0635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0635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0635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0635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0635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0635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06353"/>
    <w:rPr>
      <w:rFonts w:eastAsiaTheme="majorEastAsia" w:cstheme="majorBidi"/>
      <w:color w:val="272727" w:themeColor="text1" w:themeTint="D8"/>
    </w:rPr>
  </w:style>
  <w:style w:type="paragraph" w:styleId="Titel">
    <w:name w:val="Title"/>
    <w:basedOn w:val="Standard"/>
    <w:next w:val="Standard"/>
    <w:link w:val="TitelZchn"/>
    <w:uiPriority w:val="10"/>
    <w:qFormat/>
    <w:rsid w:val="00B06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0635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0635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0635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0635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06353"/>
    <w:rPr>
      <w:i/>
      <w:iCs/>
      <w:color w:val="404040" w:themeColor="text1" w:themeTint="BF"/>
    </w:rPr>
  </w:style>
  <w:style w:type="paragraph" w:styleId="Listenabsatz">
    <w:name w:val="List Paragraph"/>
    <w:basedOn w:val="Standard"/>
    <w:uiPriority w:val="34"/>
    <w:qFormat/>
    <w:rsid w:val="00B06353"/>
    <w:pPr>
      <w:ind w:left="720"/>
      <w:contextualSpacing/>
    </w:pPr>
  </w:style>
  <w:style w:type="character" w:styleId="IntensiveHervorhebung">
    <w:name w:val="Intense Emphasis"/>
    <w:basedOn w:val="Absatz-Standardschriftart"/>
    <w:uiPriority w:val="21"/>
    <w:qFormat/>
    <w:rsid w:val="00B06353"/>
    <w:rPr>
      <w:i/>
      <w:iCs/>
      <w:color w:val="0F4761" w:themeColor="accent1" w:themeShade="BF"/>
    </w:rPr>
  </w:style>
  <w:style w:type="paragraph" w:styleId="IntensivesZitat">
    <w:name w:val="Intense Quote"/>
    <w:basedOn w:val="Standard"/>
    <w:next w:val="Standard"/>
    <w:link w:val="IntensivesZitatZchn"/>
    <w:uiPriority w:val="30"/>
    <w:qFormat/>
    <w:rsid w:val="00B06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06353"/>
    <w:rPr>
      <w:i/>
      <w:iCs/>
      <w:color w:val="0F4761" w:themeColor="accent1" w:themeShade="BF"/>
    </w:rPr>
  </w:style>
  <w:style w:type="character" w:styleId="IntensiverVerweis">
    <w:name w:val="Intense Reference"/>
    <w:basedOn w:val="Absatz-Standardschriftart"/>
    <w:uiPriority w:val="32"/>
    <w:qFormat/>
    <w:rsid w:val="00B063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cc3f33d-710a-4d14-985e-7829abc61f4b}" enabled="1" method="Standard" siteId="{8c4c0431-0b4f-4689-b059-0c642dabbadf}"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1400</Words>
  <Characters>8825</Characters>
  <Application>Microsoft Office Word</Application>
  <DocSecurity>0</DocSecurity>
  <Lines>73</Lines>
  <Paragraphs>20</Paragraphs>
  <ScaleCrop>false</ScaleCrop>
  <HeadingPairs>
    <vt:vector size="2" baseType="variant">
      <vt:variant>
        <vt:lpstr>Titel</vt:lpstr>
      </vt:variant>
      <vt:variant>
        <vt:i4>1</vt:i4>
      </vt:variant>
    </vt:vector>
  </HeadingPairs>
  <TitlesOfParts>
    <vt:vector size="1" baseType="lpstr">
      <vt:lpstr/>
    </vt:vector>
  </TitlesOfParts>
  <Company>Raiffeisenbankengruppe Oberoesterreich</Company>
  <LinksUpToDate>false</LinksUpToDate>
  <CharactersWithSpaces>10205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Dicken</dc:creator>
  <cp:keywords/>
  <dc:description/>
  <cp:lastModifiedBy>Christine Dicken</cp:lastModifiedBy>
  <cp:revision>2</cp:revision>
  <dcterms:created xsi:type="dcterms:W3CDTF">2026-04-21T08:33:00Z</dcterms:created>
  <dcterms:modified xsi:type="dcterms:W3CDTF">2026-04-21T08:33:00Z</dcterms:modified>
</cp:coreProperties>
</file>