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2FCB0" w14:textId="3B1B21E4" w:rsidR="00C23148" w:rsidRPr="001137FC" w:rsidRDefault="00C23148" w:rsidP="00A745F6">
      <w:pPr>
        <w:spacing w:after="80"/>
        <w:jc w:val="both"/>
        <w:rPr>
          <w:sz w:val="28"/>
          <w:szCs w:val="28"/>
          <w:lang w:val="de-AT"/>
        </w:rPr>
      </w:pPr>
      <w:bookmarkStart w:id="0" w:name="X5d5bf5b51b15dcc1489df5a4da40d0fe0216f84"/>
      <w:r w:rsidRPr="001137FC">
        <w:rPr>
          <w:b/>
          <w:bCs/>
          <w:sz w:val="28"/>
          <w:szCs w:val="28"/>
          <w:lang w:val="de-AT"/>
        </w:rPr>
        <w:t>Die Konzernaufstellungspflicht von Kreditinstituten gemäß § 59a BWG</w:t>
      </w:r>
    </w:p>
    <w:p w14:paraId="7285077E" w14:textId="77777777" w:rsidR="00FD13B6" w:rsidRDefault="00FD13B6" w:rsidP="00A745F6">
      <w:pPr>
        <w:spacing w:after="120"/>
        <w:jc w:val="both"/>
        <w:rPr>
          <w:lang w:val="de-AT"/>
        </w:rPr>
      </w:pPr>
      <w:bookmarkStart w:id="1" w:name="einleitung"/>
    </w:p>
    <w:p w14:paraId="70A39DE4" w14:textId="41F86D47" w:rsidR="00FD13B6" w:rsidRDefault="00FD13B6" w:rsidP="00EB1627">
      <w:pPr>
        <w:pStyle w:val="berschrift2"/>
        <w:numPr>
          <w:ilvl w:val="0"/>
          <w:numId w:val="2"/>
        </w:numPr>
        <w:jc w:val="both"/>
      </w:pPr>
      <w:r>
        <w:t>Sachverhalt:</w:t>
      </w:r>
    </w:p>
    <w:p w14:paraId="483DD4AA" w14:textId="410C99E2" w:rsidR="00FD13B6" w:rsidRDefault="00EB1627" w:rsidP="00FD13B6">
      <w:pPr>
        <w:pStyle w:val="FirstParagraph"/>
        <w:jc w:val="both"/>
        <w:rPr>
          <w:lang w:val="de-AT"/>
        </w:rPr>
      </w:pPr>
      <w:r>
        <w:rPr>
          <w:lang w:val="de-AT"/>
        </w:rPr>
        <w:t>1)</w:t>
      </w:r>
      <w:r w:rsidR="00FD13B6">
        <w:rPr>
          <w:lang w:val="de-AT"/>
        </w:rPr>
        <w:t>Ein</w:t>
      </w:r>
      <w:r w:rsidR="00FD13B6" w:rsidRPr="001137FC">
        <w:rPr>
          <w:lang w:val="de-AT"/>
        </w:rPr>
        <w:t xml:space="preserve"> übergeordnetes Kreditinstitut </w:t>
      </w:r>
      <w:r>
        <w:rPr>
          <w:lang w:val="de-AT"/>
        </w:rPr>
        <w:t xml:space="preserve">ist </w:t>
      </w:r>
      <w:r w:rsidR="00FD13B6" w:rsidRPr="001137FC">
        <w:rPr>
          <w:lang w:val="de-AT"/>
        </w:rPr>
        <w:t>mit Wertpapieren zum Handel</w:t>
      </w:r>
      <w:r w:rsidR="00FD13B6">
        <w:rPr>
          <w:lang w:val="de-AT"/>
        </w:rPr>
        <w:t xml:space="preserve"> </w:t>
      </w:r>
      <w:r w:rsidR="00FD13B6" w:rsidRPr="001137FC">
        <w:rPr>
          <w:lang w:val="de-AT"/>
        </w:rPr>
        <w:t>an einem geregelten Markt zugelassen und nach § 59 BWG konzernrechnungslegungspflichti</w:t>
      </w:r>
      <w:r>
        <w:rPr>
          <w:lang w:val="de-AT"/>
        </w:rPr>
        <w:t>g.</w:t>
      </w:r>
    </w:p>
    <w:p w14:paraId="16107F7C" w14:textId="1900813A" w:rsidR="00EB1627" w:rsidRPr="00EB1627" w:rsidRDefault="00EB1627" w:rsidP="00EB1627">
      <w:pPr>
        <w:pStyle w:val="FirstParagraph"/>
        <w:jc w:val="both"/>
        <w:rPr>
          <w:lang w:val="de-AT"/>
        </w:rPr>
      </w:pPr>
      <w:r>
        <w:rPr>
          <w:lang w:val="de-AT"/>
        </w:rPr>
        <w:t>2)Ein</w:t>
      </w:r>
      <w:r w:rsidR="00FD13B6" w:rsidRPr="001137FC">
        <w:rPr>
          <w:lang w:val="de-AT"/>
        </w:rPr>
        <w:t xml:space="preserve"> übergeordnetes Kreditinstitut mit Wertpapieren</w:t>
      </w:r>
      <w:r>
        <w:rPr>
          <w:lang w:val="de-AT"/>
        </w:rPr>
        <w:t xml:space="preserve"> ist</w:t>
      </w:r>
      <w:r w:rsidR="00FD13B6" w:rsidRPr="001137FC">
        <w:rPr>
          <w:lang w:val="de-AT"/>
        </w:rPr>
        <w:t xml:space="preserve"> zum Handel an einem geregelten Markt zugelassen und nach § 59 BWG nicht konzernrechnungslegungspflichtig (weil etwa die nachgeordneten Institute einzeln und zusammen betrachtet unwesentlich </w:t>
      </w:r>
      <w:proofErr w:type="spellStart"/>
      <w:r w:rsidR="00FD13B6" w:rsidRPr="001137FC">
        <w:rPr>
          <w:lang w:val="de-AT"/>
        </w:rPr>
        <w:t>iSd</w:t>
      </w:r>
      <w:proofErr w:type="spellEnd"/>
      <w:r w:rsidR="00FD13B6" w:rsidRPr="001137FC">
        <w:rPr>
          <w:lang w:val="de-AT"/>
        </w:rPr>
        <w:t xml:space="preserve"> § 59 Abs 3 BWG sind)</w:t>
      </w:r>
      <w:r>
        <w:rPr>
          <w:lang w:val="de-AT"/>
        </w:rPr>
        <w:t xml:space="preserve">. Es hat allerdings wesentliche Industrietöchter. </w:t>
      </w:r>
    </w:p>
    <w:p w14:paraId="6D25FF2F" w14:textId="2BD4C9D5" w:rsidR="00EB1627" w:rsidRDefault="00EB1627" w:rsidP="00EB1627">
      <w:pPr>
        <w:pStyle w:val="FirstParagraph"/>
        <w:jc w:val="both"/>
        <w:rPr>
          <w:lang w:val="de-AT"/>
        </w:rPr>
      </w:pPr>
      <w:r>
        <w:rPr>
          <w:lang w:val="de-AT"/>
        </w:rPr>
        <w:t>3</w:t>
      </w:r>
      <w:r>
        <w:rPr>
          <w:lang w:val="de-AT"/>
        </w:rPr>
        <w:t>)</w:t>
      </w:r>
      <w:r w:rsidRPr="00EB1627">
        <w:rPr>
          <w:lang w:val="de-AT"/>
        </w:rPr>
        <w:t xml:space="preserve"> </w:t>
      </w:r>
      <w:r>
        <w:rPr>
          <w:lang w:val="de-AT"/>
        </w:rPr>
        <w:t xml:space="preserve">Ein </w:t>
      </w:r>
      <w:r w:rsidRPr="001137FC">
        <w:rPr>
          <w:lang w:val="de-AT"/>
        </w:rPr>
        <w:t xml:space="preserve">übergeordnetes Kreditinstitut </w:t>
      </w:r>
      <w:r>
        <w:rPr>
          <w:lang w:val="de-AT"/>
        </w:rPr>
        <w:t xml:space="preserve">ist nicht </w:t>
      </w:r>
      <w:r w:rsidRPr="001137FC">
        <w:rPr>
          <w:lang w:val="de-AT"/>
        </w:rPr>
        <w:t>mit Wertpapieren zum Handel</w:t>
      </w:r>
      <w:r>
        <w:rPr>
          <w:lang w:val="de-AT"/>
        </w:rPr>
        <w:t xml:space="preserve"> </w:t>
      </w:r>
      <w:r w:rsidRPr="001137FC">
        <w:rPr>
          <w:lang w:val="de-AT"/>
        </w:rPr>
        <w:t>an einem geregelten Markt zugelassen und nach § 59 BWG konzernrechnungslegungspflichti</w:t>
      </w:r>
      <w:r>
        <w:rPr>
          <w:lang w:val="de-AT"/>
        </w:rPr>
        <w:t>g.</w:t>
      </w:r>
    </w:p>
    <w:p w14:paraId="55713C96" w14:textId="77777777" w:rsidR="00FD13B6" w:rsidRDefault="00FD13B6" w:rsidP="00A745F6">
      <w:pPr>
        <w:spacing w:after="120"/>
        <w:jc w:val="both"/>
        <w:rPr>
          <w:lang w:val="de-AT"/>
        </w:rPr>
      </w:pPr>
    </w:p>
    <w:p w14:paraId="17E0086C" w14:textId="0E7DBC31" w:rsidR="00FD13B6" w:rsidRDefault="00FD13B6" w:rsidP="00EB1627">
      <w:pPr>
        <w:pStyle w:val="berschrift2"/>
        <w:numPr>
          <w:ilvl w:val="0"/>
          <w:numId w:val="2"/>
        </w:numPr>
        <w:jc w:val="both"/>
      </w:pPr>
      <w:r>
        <w:t>Fragestellungen:</w:t>
      </w:r>
    </w:p>
    <w:p w14:paraId="138EBEF4" w14:textId="6D9FD47C" w:rsidR="00FD13B6" w:rsidRPr="00FD13B6" w:rsidRDefault="00FD13B6" w:rsidP="00FD13B6">
      <w:pPr>
        <w:pStyle w:val="Listenabsatz"/>
        <w:numPr>
          <w:ilvl w:val="0"/>
          <w:numId w:val="9"/>
        </w:numPr>
        <w:spacing w:after="120"/>
        <w:jc w:val="both"/>
        <w:rPr>
          <w:lang w:val="de-AT"/>
        </w:rPr>
      </w:pPr>
      <w:r w:rsidRPr="00FD13B6">
        <w:rPr>
          <w:lang w:val="de-AT"/>
        </w:rPr>
        <w:t>Kann für</w:t>
      </w:r>
      <w:r w:rsidR="00EB1627">
        <w:rPr>
          <w:lang w:val="de-AT"/>
        </w:rPr>
        <w:t xml:space="preserve"> die oben genannten</w:t>
      </w:r>
      <w:r w:rsidRPr="00FD13B6">
        <w:rPr>
          <w:lang w:val="de-AT"/>
        </w:rPr>
        <w:t xml:space="preserve"> Kreditinstitute neben der </w:t>
      </w:r>
      <w:proofErr w:type="spellStart"/>
      <w:r w:rsidRPr="00FD13B6">
        <w:rPr>
          <w:lang w:val="de-AT"/>
        </w:rPr>
        <w:t>bankwesenrechtlichen</w:t>
      </w:r>
      <w:proofErr w:type="spellEnd"/>
      <w:r w:rsidRPr="00FD13B6">
        <w:rPr>
          <w:lang w:val="de-AT"/>
        </w:rPr>
        <w:t xml:space="preserve"> Konzernaufstellungspflicht des § 59 BWG subsidiär (falls eine </w:t>
      </w:r>
      <w:proofErr w:type="spellStart"/>
      <w:r w:rsidRPr="00FD13B6">
        <w:rPr>
          <w:lang w:val="de-AT"/>
        </w:rPr>
        <w:t>bankwesenrechtliche</w:t>
      </w:r>
      <w:proofErr w:type="spellEnd"/>
      <w:r w:rsidRPr="00FD13B6">
        <w:rPr>
          <w:lang w:val="de-AT"/>
        </w:rPr>
        <w:t xml:space="preserve"> Konzernaufstellungspflicht nicht gegeben ist) oder parallel (neben der </w:t>
      </w:r>
      <w:proofErr w:type="spellStart"/>
      <w:r w:rsidRPr="00FD13B6">
        <w:rPr>
          <w:lang w:val="de-AT"/>
        </w:rPr>
        <w:t>bankwesenrechtlichen</w:t>
      </w:r>
      <w:proofErr w:type="spellEnd"/>
      <w:r w:rsidRPr="00FD13B6">
        <w:rPr>
          <w:lang w:val="de-AT"/>
        </w:rPr>
        <w:t xml:space="preserve"> Konzernaufstellungspflicht) eine solche nach § 244 UGB in Betracht kommen?</w:t>
      </w:r>
    </w:p>
    <w:p w14:paraId="66405BF3" w14:textId="511B04BE" w:rsidR="00FD13B6" w:rsidRPr="00FD13B6" w:rsidRDefault="00FD13B6" w:rsidP="00FD13B6">
      <w:pPr>
        <w:pStyle w:val="Listenabsatz"/>
        <w:numPr>
          <w:ilvl w:val="0"/>
          <w:numId w:val="9"/>
        </w:numPr>
        <w:spacing w:after="120"/>
        <w:jc w:val="both"/>
        <w:rPr>
          <w:lang w:val="de-AT"/>
        </w:rPr>
      </w:pPr>
      <w:r w:rsidRPr="00FD13B6">
        <w:rPr>
          <w:lang w:val="de-AT"/>
        </w:rPr>
        <w:t xml:space="preserve">Müssen </w:t>
      </w:r>
      <w:r w:rsidR="00EB1627">
        <w:rPr>
          <w:lang w:val="de-AT"/>
        </w:rPr>
        <w:t xml:space="preserve">die </w:t>
      </w:r>
      <w:r w:rsidRPr="00FD13B6">
        <w:rPr>
          <w:lang w:val="de-AT"/>
        </w:rPr>
        <w:t>Kreditinstitute möglicherweise zwei voneinander unabhängige Konzernabschlüsse erstellen – einen nach § 59 BWG und einen nach § 244 UGB?</w:t>
      </w:r>
    </w:p>
    <w:p w14:paraId="5182A2BB" w14:textId="111FA632" w:rsidR="00FD13B6" w:rsidRDefault="00FD13B6" w:rsidP="00FD13B6">
      <w:pPr>
        <w:pStyle w:val="Listenabsatz"/>
        <w:numPr>
          <w:ilvl w:val="0"/>
          <w:numId w:val="9"/>
        </w:numPr>
        <w:spacing w:after="120"/>
        <w:jc w:val="both"/>
        <w:rPr>
          <w:lang w:val="de-AT"/>
        </w:rPr>
      </w:pPr>
      <w:r w:rsidRPr="00FD13B6">
        <w:rPr>
          <w:lang w:val="de-AT"/>
        </w:rPr>
        <w:t>Unter welchen Voraussetzungen entsteht die Pflicht zur Aufstellung eines IFRS-Konzernabschlusses nach § 59a BWG?</w:t>
      </w:r>
    </w:p>
    <w:p w14:paraId="505348E9" w14:textId="6B7BFB21" w:rsidR="00EB1627" w:rsidRPr="00FD13B6" w:rsidRDefault="00EB1627" w:rsidP="00EB1627">
      <w:pPr>
        <w:pStyle w:val="Listenabsatz"/>
        <w:numPr>
          <w:ilvl w:val="0"/>
          <w:numId w:val="9"/>
        </w:numPr>
        <w:spacing w:after="120"/>
        <w:jc w:val="both"/>
        <w:rPr>
          <w:lang w:val="de-AT"/>
        </w:rPr>
      </w:pPr>
      <w:r>
        <w:rPr>
          <w:lang w:val="de-AT"/>
        </w:rPr>
        <w:t xml:space="preserve">Müssen die Kreditinstitute einen IFRS-Konzernabschluss erstellen? </w:t>
      </w:r>
    </w:p>
    <w:p w14:paraId="3B60D199" w14:textId="2620F208" w:rsidR="00EB1627" w:rsidRPr="00FD13B6" w:rsidRDefault="00EB1627" w:rsidP="00EB1627">
      <w:pPr>
        <w:pStyle w:val="Listenabsatz"/>
        <w:spacing w:after="120"/>
        <w:jc w:val="both"/>
        <w:rPr>
          <w:lang w:val="de-AT"/>
        </w:rPr>
      </w:pPr>
    </w:p>
    <w:p w14:paraId="050076F5" w14:textId="40E3ACB9" w:rsidR="00FD13B6" w:rsidRDefault="00FD13B6" w:rsidP="00FD13B6">
      <w:pPr>
        <w:pStyle w:val="berschrift2"/>
        <w:numPr>
          <w:ilvl w:val="0"/>
          <w:numId w:val="2"/>
        </w:numPr>
        <w:jc w:val="both"/>
      </w:pPr>
      <w:r>
        <w:t>Lösung</w:t>
      </w:r>
    </w:p>
    <w:p w14:paraId="48FA28C3" w14:textId="1360D0BC" w:rsidR="00487690" w:rsidRPr="001137FC" w:rsidRDefault="00CE34D9" w:rsidP="00FD13B6">
      <w:pPr>
        <w:pStyle w:val="berschrift2"/>
        <w:numPr>
          <w:ilvl w:val="1"/>
          <w:numId w:val="2"/>
        </w:numPr>
        <w:jc w:val="both"/>
      </w:pPr>
      <w:bookmarkStart w:id="2" w:name="die-verweistechnik-des-bwg-auf-das-ugb"/>
      <w:bookmarkEnd w:id="1"/>
      <w:r w:rsidRPr="001137FC">
        <w:t>Die Verweistechnik des BWG auf das UGB</w:t>
      </w:r>
    </w:p>
    <w:p w14:paraId="0509A08B" w14:textId="502EB22C" w:rsidR="00487690" w:rsidRPr="001137FC" w:rsidRDefault="00CE34D9" w:rsidP="00A745F6">
      <w:pPr>
        <w:pStyle w:val="FirstParagraph"/>
        <w:jc w:val="both"/>
        <w:rPr>
          <w:lang w:val="de-AT"/>
        </w:rPr>
      </w:pPr>
      <w:bookmarkStart w:id="3" w:name="grundsätzliche-regelungssystematik"/>
      <w:r w:rsidRPr="001137FC">
        <w:rPr>
          <w:lang w:val="de-AT"/>
        </w:rPr>
        <w:t>Abschnitt XII des Bankwesengesetzes regelt die Rechnungslegung von Kreditinstituten und Kreditinstitutsgruppen. § 43 Abs 1 BWG verweist dabei hinsichtlich der Rechnungslegung auf das dritte Buch des UGB, wobei diverse ausdrückliche Einzelausnahmen vorgesehen sind. Diese umfass</w:t>
      </w:r>
      <w:r w:rsidR="00AF085D">
        <w:rPr>
          <w:lang w:val="de-AT"/>
        </w:rPr>
        <w:t>en insbesondere</w:t>
      </w:r>
      <w:r w:rsidRPr="001137FC">
        <w:rPr>
          <w:lang w:val="de-AT"/>
        </w:rPr>
        <w:t xml:space="preserve"> die in § 43 Abs 2 BWG angesprochenen Gliederungsvorschriften, die in den §§ 44 ff BWG enthaltenen gesonderten Ausweis- und Bewertungsvorschriften sowie spezifische Regelungen zum Konzernabschlussrecht. Diese Bestimmungen konkretisieren zum Teil das allgemeine Bilanzrecht, verdrängen dieses aber auch in wesentlichen Bereichen</w:t>
      </w:r>
      <w:r w:rsidR="008A1849" w:rsidRPr="001137FC">
        <w:rPr>
          <w:rStyle w:val="Funotenzeichen"/>
          <w:lang w:val="de-AT"/>
        </w:rPr>
        <w:footnoteReference w:id="1"/>
      </w:r>
      <w:r w:rsidRPr="001137FC">
        <w:rPr>
          <w:lang w:val="de-AT"/>
        </w:rPr>
        <w:t>.</w:t>
      </w:r>
    </w:p>
    <w:p w14:paraId="5FDF4FB7" w14:textId="4DACF32E" w:rsidR="00487690" w:rsidRPr="001137FC" w:rsidRDefault="00CE34D9" w:rsidP="00FD13B6">
      <w:pPr>
        <w:pStyle w:val="berschrift2"/>
        <w:numPr>
          <w:ilvl w:val="1"/>
          <w:numId w:val="2"/>
        </w:numPr>
        <w:jc w:val="both"/>
      </w:pPr>
      <w:bookmarkStart w:id="4" w:name="europarechtliche-grundlagen"/>
      <w:bookmarkEnd w:id="3"/>
      <w:r w:rsidRPr="001137FC">
        <w:lastRenderedPageBreak/>
        <w:t>Europarechtliche Grundlagen</w:t>
      </w:r>
    </w:p>
    <w:p w14:paraId="2888658D" w14:textId="73578B88" w:rsidR="0056355E" w:rsidRPr="001137FC" w:rsidRDefault="00A745F6" w:rsidP="00A745F6">
      <w:pPr>
        <w:spacing w:after="120"/>
        <w:jc w:val="both"/>
        <w:rPr>
          <w:lang w:val="de-AT"/>
        </w:rPr>
      </w:pPr>
      <w:bookmarkStart w:id="5" w:name="nationale-umsetzung"/>
      <w:bookmarkEnd w:id="4"/>
      <w:r w:rsidRPr="00A745F6">
        <w:rPr>
          <w:lang w:val="de-AT"/>
        </w:rPr>
        <w:t xml:space="preserve">Die maßgeblichen europarechtlichen Grundlagen für die Konzernaufstellungspflicht von Kreditinstituten bilden die Bankbilanzrichtlinie (86/635/EWG) sowie die – zwischenzeitlich in die Bilanzrichtlinie (2013/34/EU) eingegliederte – Konzernbilanzrichtlinie (83/349/EWG): Da Art 42 BB-RL auf die Konzernbilanzrichtlinie verweist und dieser Verweis auf die im Zeitpunkt des Erlasses des Art 42 BB-RL geltende Rechtslage abstellt, ist für die nachfolgende Analyse in erster Linie die alte Konzernbilanzrichtlinie heranzuziehen. </w:t>
      </w:r>
      <w:r w:rsidR="0056355E" w:rsidRPr="001137FC">
        <w:rPr>
          <w:lang w:val="de-AT"/>
        </w:rPr>
        <w:t xml:space="preserve">Während die Konzernbilanzrichtlinie </w:t>
      </w:r>
      <w:r w:rsidR="00AF085D">
        <w:rPr>
          <w:lang w:val="de-AT"/>
        </w:rPr>
        <w:t xml:space="preserve">(7. EU-RL) </w:t>
      </w:r>
      <w:r w:rsidR="0056355E" w:rsidRPr="001137FC">
        <w:rPr>
          <w:lang w:val="de-AT"/>
        </w:rPr>
        <w:t xml:space="preserve">die Vergleichbarkeit und Gleichwertigkeit der Informationen konsolidierter Abschlüsse in Europa bezweckt (Abs 1 der Erwägungsgründe zur Konzernbilanzrichtlinie), will die Bankbilanzrichtlinie darüber hinaus – angesichts der Besonderheiten der Kreditinstitute – für diese eine selbständige Richtlinie über den konsolidierten Abschluss erlassen (Abs 7 und 14 der Erwägungsgründe zur Bankbilanzrichtlinie). In den Erwägungsgründen wird jedoch betont, dass damit kein von der Konzernbilanzrichtlinie unabhängiges </w:t>
      </w:r>
      <w:proofErr w:type="spellStart"/>
      <w:r w:rsidR="0056355E" w:rsidRPr="001137FC">
        <w:rPr>
          <w:lang w:val="de-AT"/>
        </w:rPr>
        <w:t>Normwerk</w:t>
      </w:r>
      <w:proofErr w:type="spellEnd"/>
      <w:r w:rsidR="0056355E" w:rsidRPr="001137FC">
        <w:rPr>
          <w:lang w:val="de-AT"/>
        </w:rPr>
        <w:t xml:space="preserve"> geschaffen werden soll; den branchenspezifischen Besonderheiten der Kreditinstitute soll lediglich durch derogierende und modifizierende Bestimmungen Rechnung getragen werden. Dies wird insbesondere durch Art 42 Abs 1 der Bankbilanzrichtlinie verdeutlicht: „Die Kreditinstitute müssen einen konsolidierten Abschluss und einen konsolidierten Lagebericht gemäß der Richtlinie 83/349/EWG erstellen, sofern dieser Abschnitt nichts anderes vorsieht.“</w:t>
      </w:r>
    </w:p>
    <w:p w14:paraId="2703A010" w14:textId="512056A9" w:rsidR="00A42662" w:rsidRPr="001137FC" w:rsidRDefault="00A42662" w:rsidP="00A745F6">
      <w:pPr>
        <w:spacing w:after="120"/>
        <w:jc w:val="both"/>
        <w:rPr>
          <w:lang w:val="de-AT"/>
        </w:rPr>
      </w:pPr>
      <w:r w:rsidRPr="001137FC">
        <w:rPr>
          <w:lang w:val="de-AT"/>
        </w:rPr>
        <w:t xml:space="preserve">Die in der BB-RL vorgesehene Konzernrechnungslegungspflicht für Kreditinstitute konkretisiert somit die Konzernrechnungslegungspflicht nach dem allgemeinen EU-Bilanzrecht und adaptiert diese durch Sonderbilanzrecht. Das in Art 42 BB-RL enthaltene Sonderbilanzrecht weicht vom allgemeinen Konsolidierungstatbestand nach der sogenannten 7. Richtlinie ab, deren Vorschriften durch Art 42 BB-RL insoweit derogiert werden. </w:t>
      </w:r>
    </w:p>
    <w:p w14:paraId="13AC8EFE" w14:textId="0AF6325E" w:rsidR="0056355E" w:rsidRPr="001137FC" w:rsidRDefault="0056355E" w:rsidP="00A745F6">
      <w:pPr>
        <w:spacing w:after="120"/>
        <w:jc w:val="both"/>
        <w:rPr>
          <w:lang w:val="de-AT"/>
        </w:rPr>
      </w:pPr>
      <w:r w:rsidRPr="001137FC">
        <w:rPr>
          <w:lang w:val="de-AT"/>
        </w:rPr>
        <w:t>In den Erläuterungen zur Regierungsvorlage zur Umsetzung des Art 42 Abs 1 BB-RL wurde hierzu ausgeführt, dass das übergeordnete Kreditinstitut für die Kreditinstitutsgruppe einen Konzernabschluss und einen Konzernlagebericht zu erstellen hat</w:t>
      </w:r>
      <w:r w:rsidR="008A1849" w:rsidRPr="001137FC">
        <w:rPr>
          <w:rStyle w:val="Funotenzeichen"/>
          <w:lang w:val="de-AT"/>
        </w:rPr>
        <w:footnoteReference w:id="2"/>
      </w:r>
      <w:r w:rsidRPr="001137FC">
        <w:rPr>
          <w:lang w:val="de-AT"/>
        </w:rPr>
        <w:t>. Zudem wird in den Erläuterungen zu § 59 BWG entsprechend den Vorgaben der BB-RL festgehalten: „Für den Konzernabschluss gelten die §§ 244 bis 267 HGB in Verbindung mit den Ausnahmebestimmungen des § 43 Abs 1 und den sondergesetzlichen Bestimmungen des § 30 BWG.</w:t>
      </w:r>
      <w:r w:rsidR="00A42662" w:rsidRPr="001137FC">
        <w:rPr>
          <w:lang w:val="de-AT"/>
        </w:rPr>
        <w:t>“</w:t>
      </w:r>
      <w:r w:rsidRPr="001137FC">
        <w:rPr>
          <w:lang w:val="de-AT"/>
        </w:rPr>
        <w:t xml:space="preserve"> Gegenüber dem </w:t>
      </w:r>
      <w:r w:rsidR="00A42662" w:rsidRPr="001137FC">
        <w:rPr>
          <w:lang w:val="de-AT"/>
        </w:rPr>
        <w:t>U</w:t>
      </w:r>
      <w:r w:rsidRPr="001137FC">
        <w:rPr>
          <w:lang w:val="de-AT"/>
        </w:rPr>
        <w:t>GB bestehen besonders Unterschiedlichkeiten hinsichtlich des Konsolidierungsumfanges, der in § 30 als Kreditinstitutsgruppe definiert wird. In § 59 Abs 2 bis 5 werden – ausschließlich für den konsolidierten Abschluss – Wahlrechte und Minderheitenrechte für den Konsolidierungskreis definiert. Die Vorgaben der BB-RL und des BWG entsprechen sich daher diesbezüglich vollständig.</w:t>
      </w:r>
    </w:p>
    <w:p w14:paraId="207FA6B2" w14:textId="38E58567" w:rsidR="00275055" w:rsidRPr="001137FC" w:rsidRDefault="00275055" w:rsidP="00A745F6">
      <w:pPr>
        <w:spacing w:after="120"/>
        <w:jc w:val="both"/>
        <w:rPr>
          <w:lang w:val="de-AT"/>
        </w:rPr>
      </w:pPr>
      <w:r w:rsidRPr="001137FC">
        <w:rPr>
          <w:lang w:val="de-AT"/>
        </w:rPr>
        <w:t xml:space="preserve">Daraus muss geschlossen werden, dass das ausschlaggebende nationale Recht für die Beurteilung der Konzernrechnungslegungspflicht von Kreditinstituten aufgrund der Derogation des UGB durch das BWG das BWG ist. Demnach stehen die Vorschriften der Konzernbilanzrichtlinie – in Österreich durch §§ 244 ff UGB in nationales Recht umgesetzt – </w:t>
      </w:r>
      <w:r w:rsidRPr="001137FC">
        <w:rPr>
          <w:lang w:val="de-AT"/>
        </w:rPr>
        <w:lastRenderedPageBreak/>
        <w:t>unter dem Vorbehalt, dass sich aus der Systematik und den Einzelregelungen der Bankbilanzrichtlinie Modifikationen und Derogationswirkungen ergeben</w:t>
      </w:r>
      <w:r w:rsidR="008A1849" w:rsidRPr="001137FC">
        <w:rPr>
          <w:rStyle w:val="Funotenzeichen"/>
          <w:lang w:val="de-AT"/>
        </w:rPr>
        <w:footnoteReference w:id="3"/>
      </w:r>
      <w:r w:rsidRPr="001137FC">
        <w:rPr>
          <w:lang w:val="de-AT"/>
        </w:rPr>
        <w:t xml:space="preserve">. </w:t>
      </w:r>
    </w:p>
    <w:p w14:paraId="005337C1" w14:textId="45F6DB58" w:rsidR="00487690" w:rsidRDefault="00AE44FB" w:rsidP="00FD13B6">
      <w:pPr>
        <w:pStyle w:val="berschrift2"/>
        <w:numPr>
          <w:ilvl w:val="1"/>
          <w:numId w:val="2"/>
        </w:numPr>
        <w:jc w:val="both"/>
      </w:pPr>
      <w:bookmarkStart w:id="6" w:name="Xd1558335b7eaf7a1aaf6dac50deb8b4f08e78ce"/>
      <w:bookmarkEnd w:id="2"/>
      <w:bookmarkEnd w:id="5"/>
      <w:r w:rsidRPr="001137FC">
        <w:t>Die Konzernaufstellungspflicht von Kreditinstituten</w:t>
      </w:r>
    </w:p>
    <w:p w14:paraId="1591395C" w14:textId="5A44A0F6" w:rsidR="00FD13B6" w:rsidRPr="00FD13B6" w:rsidRDefault="00A745F6" w:rsidP="00FD13B6">
      <w:pPr>
        <w:pStyle w:val="Textkrper"/>
        <w:jc w:val="both"/>
        <w:rPr>
          <w:lang w:val="de-AT" w:eastAsia="de-AT"/>
        </w:rPr>
      </w:pPr>
      <w:r w:rsidRPr="00A745F6">
        <w:rPr>
          <w:lang w:val="de-AT" w:eastAsia="de-AT"/>
        </w:rPr>
        <w:t xml:space="preserve">Nachdem in den vorangegangenen Abschnitten die europarechtlichen Grundlagen und die allgemeine Verweistechnik des BWG auf das UGB dargestellt wurden, ist nunmehr der Frage nachzugehen, welche Rechtsgrundlage die Konzernaufstellungspflicht von Kreditinstituten im innerstaatlichen Recht abschließend bestimmt. Im Mittelpunkt steht dabei das Verhältnis zwischen dem </w:t>
      </w:r>
      <w:proofErr w:type="spellStart"/>
      <w:r w:rsidRPr="00A745F6">
        <w:rPr>
          <w:lang w:val="de-AT" w:eastAsia="de-AT"/>
        </w:rPr>
        <w:t>bankwesenrechtlichen</w:t>
      </w:r>
      <w:proofErr w:type="spellEnd"/>
      <w:r w:rsidRPr="00A745F6">
        <w:rPr>
          <w:lang w:val="de-AT" w:eastAsia="de-AT"/>
        </w:rPr>
        <w:t xml:space="preserve"> Aufstellungstatbestand des § 59 BWG und dem allgemeinen unternehmensrechtlichen Konsolidierungsgebot des § 244 UGB – und insbesondere die Frage, ob für Kreditinstitute subsidiär </w:t>
      </w:r>
      <w:r>
        <w:rPr>
          <w:lang w:val="de-AT" w:eastAsia="de-AT"/>
        </w:rPr>
        <w:t xml:space="preserve">(falls eine </w:t>
      </w:r>
      <w:proofErr w:type="spellStart"/>
      <w:r>
        <w:rPr>
          <w:lang w:val="de-AT" w:eastAsia="de-AT"/>
        </w:rPr>
        <w:t>bankwesenrechtliche</w:t>
      </w:r>
      <w:proofErr w:type="spellEnd"/>
      <w:r>
        <w:rPr>
          <w:lang w:val="de-AT" w:eastAsia="de-AT"/>
        </w:rPr>
        <w:t xml:space="preserve"> Konzernaufstellungspflicht nicht gegeben ist) oder parallel (</w:t>
      </w:r>
      <w:r w:rsidRPr="00A745F6">
        <w:rPr>
          <w:lang w:val="de-AT" w:eastAsia="de-AT"/>
        </w:rPr>
        <w:t xml:space="preserve">neben der </w:t>
      </w:r>
      <w:proofErr w:type="spellStart"/>
      <w:r w:rsidRPr="00A745F6">
        <w:rPr>
          <w:lang w:val="de-AT" w:eastAsia="de-AT"/>
        </w:rPr>
        <w:t>bankwesenrechtlichen</w:t>
      </w:r>
      <w:proofErr w:type="spellEnd"/>
      <w:r w:rsidRPr="00A745F6">
        <w:rPr>
          <w:lang w:val="de-AT" w:eastAsia="de-AT"/>
        </w:rPr>
        <w:t xml:space="preserve"> Konzernaufstellungspflicht</w:t>
      </w:r>
      <w:r>
        <w:rPr>
          <w:lang w:val="de-AT" w:eastAsia="de-AT"/>
        </w:rPr>
        <w:t xml:space="preserve">) </w:t>
      </w:r>
      <w:r w:rsidRPr="00A745F6">
        <w:rPr>
          <w:lang w:val="de-AT" w:eastAsia="de-AT"/>
        </w:rPr>
        <w:t>eine solche nach § 244 UGB in Betracht kommen kann.</w:t>
      </w:r>
      <w:bookmarkStart w:id="7" w:name="vorrang-des-189-abs-3-ugb"/>
    </w:p>
    <w:p w14:paraId="5C0661FD" w14:textId="4E906C22" w:rsidR="00487690" w:rsidRPr="001137FC" w:rsidRDefault="00AE44FB" w:rsidP="00FD13B6">
      <w:pPr>
        <w:pStyle w:val="berschrift3"/>
        <w:numPr>
          <w:ilvl w:val="2"/>
          <w:numId w:val="4"/>
        </w:numPr>
        <w:jc w:val="both"/>
      </w:pPr>
      <w:r w:rsidRPr="001137FC">
        <w:t>§ 189 Abs 3 UGB als Ausgangspunkt</w:t>
      </w:r>
    </w:p>
    <w:p w14:paraId="482F6DAE" w14:textId="2E939256" w:rsidR="00770478" w:rsidRPr="001137FC" w:rsidRDefault="00770478" w:rsidP="00A745F6">
      <w:pPr>
        <w:spacing w:after="120"/>
        <w:jc w:val="both"/>
        <w:rPr>
          <w:lang w:val="de-AT"/>
        </w:rPr>
      </w:pPr>
      <w:r w:rsidRPr="001137FC">
        <w:rPr>
          <w:lang w:val="de-AT"/>
        </w:rPr>
        <w:t xml:space="preserve">Gemäß § 189 Abs 3 UGB gehen rechnungslegungsrechtliche Sonderbestimmungen der Anwendung des UGB vor. Nach den Erläuterungen der Regierungsvorlage zum </w:t>
      </w:r>
      <w:proofErr w:type="spellStart"/>
      <w:r w:rsidRPr="001137FC">
        <w:rPr>
          <w:lang w:val="de-AT"/>
        </w:rPr>
        <w:t>HaRÄG</w:t>
      </w:r>
      <w:proofErr w:type="spellEnd"/>
      <w:r w:rsidR="008A1849" w:rsidRPr="001137FC">
        <w:rPr>
          <w:rStyle w:val="Funotenzeichen"/>
          <w:lang w:val="de-AT"/>
        </w:rPr>
        <w:footnoteReference w:id="4"/>
      </w:r>
      <w:r w:rsidRPr="001137FC">
        <w:rPr>
          <w:lang w:val="de-AT"/>
        </w:rPr>
        <w:t xml:space="preserve"> zählen zu diesen Sonderbestimmungen insbesondere jene des BWG und </w:t>
      </w:r>
      <w:r w:rsidR="009A3669" w:rsidRPr="001137FC">
        <w:rPr>
          <w:lang w:val="de-AT"/>
        </w:rPr>
        <w:t xml:space="preserve">konkret </w:t>
      </w:r>
      <w:r w:rsidRPr="001137FC">
        <w:rPr>
          <w:lang w:val="de-AT"/>
        </w:rPr>
        <w:t>die §§ 59 und 30 BWG gelten nachweislich als gemäß § 189 Abs 3 UGB vorrangige rechnungslegungsrechtliche Sonderbestimmungen</w:t>
      </w:r>
      <w:r w:rsidR="008A1849" w:rsidRPr="001137FC">
        <w:rPr>
          <w:rStyle w:val="Funotenzeichen"/>
          <w:lang w:val="de-AT"/>
        </w:rPr>
        <w:footnoteReference w:id="5"/>
      </w:r>
      <w:r w:rsidRPr="001137FC">
        <w:rPr>
          <w:lang w:val="de-AT"/>
        </w:rPr>
        <w:t xml:space="preserve">. </w:t>
      </w:r>
    </w:p>
    <w:p w14:paraId="5E8F9110" w14:textId="0E7A5BB0" w:rsidR="00770478" w:rsidRPr="001137FC" w:rsidRDefault="00770478" w:rsidP="00A745F6">
      <w:pPr>
        <w:spacing w:after="120"/>
        <w:jc w:val="both"/>
        <w:rPr>
          <w:sz w:val="20"/>
          <w:szCs w:val="20"/>
          <w:lang w:val="de-AT"/>
        </w:rPr>
      </w:pPr>
      <w:r w:rsidRPr="001137FC">
        <w:rPr>
          <w:lang w:val="de-AT"/>
        </w:rPr>
        <w:t>Daraus folgt, dass die Konzernaufstellungspflicht von Kreditinstituten ausschließlich durch die §§ 30 und 59 BWG bestimmt wird. Diese Bestimmungen derogieren insbesondere § 244 UGB.</w:t>
      </w:r>
      <w:r w:rsidR="00D71B30" w:rsidRPr="001137FC">
        <w:rPr>
          <w:lang w:val="de-AT"/>
        </w:rPr>
        <w:t xml:space="preserve"> So auch das Meinungsbild im Schrifttum: </w:t>
      </w:r>
      <w:proofErr w:type="spellStart"/>
      <w:r w:rsidR="00D71B30" w:rsidRPr="001137FC">
        <w:rPr>
          <w:i/>
          <w:iCs/>
          <w:lang w:val="de-AT"/>
        </w:rPr>
        <w:t>Stückler</w:t>
      </w:r>
      <w:proofErr w:type="spellEnd"/>
      <w:r w:rsidR="00D71B30" w:rsidRPr="001137FC">
        <w:rPr>
          <w:i/>
          <w:iCs/>
          <w:lang w:val="de-AT"/>
        </w:rPr>
        <w:t xml:space="preserve"> </w:t>
      </w:r>
      <w:r w:rsidR="00D71B30" w:rsidRPr="001137FC">
        <w:rPr>
          <w:lang w:val="de-AT"/>
        </w:rPr>
        <w:t>hält hierzu fest, dass sich die Verpflichtung zur Konzernrechnungslegung für Kreditinstitute in Abweichung zum UGB aus § 59 BWG ergibt</w:t>
      </w:r>
      <w:r w:rsidR="008A1849" w:rsidRPr="001137FC">
        <w:rPr>
          <w:rStyle w:val="Funotenzeichen"/>
          <w:lang w:val="de-AT"/>
        </w:rPr>
        <w:footnoteReference w:id="6"/>
      </w:r>
      <w:r w:rsidR="008A1849" w:rsidRPr="001137FC">
        <w:rPr>
          <w:lang w:val="de-AT"/>
        </w:rPr>
        <w:t>.</w:t>
      </w:r>
      <w:r w:rsidR="00D71B30" w:rsidRPr="001137FC">
        <w:rPr>
          <w:lang w:val="de-AT"/>
        </w:rPr>
        <w:t xml:space="preserve"> </w:t>
      </w:r>
      <w:r w:rsidR="00D71B30" w:rsidRPr="001137FC">
        <w:rPr>
          <w:i/>
          <w:iCs/>
          <w:lang w:val="de-AT"/>
        </w:rPr>
        <w:t>Linc</w:t>
      </w:r>
      <w:r w:rsidR="00D71B30" w:rsidRPr="001137FC">
        <w:rPr>
          <w:lang w:val="de-AT"/>
        </w:rPr>
        <w:t xml:space="preserve"> betont, dass hinsichtlich des Konsolidierungskreises für die Vollkonsolidierung ausschließlich § 59 BWG gilt</w:t>
      </w:r>
      <w:r w:rsidR="008A1849" w:rsidRPr="001137FC">
        <w:rPr>
          <w:rStyle w:val="Funotenzeichen"/>
          <w:lang w:val="de-AT"/>
        </w:rPr>
        <w:footnoteReference w:id="7"/>
      </w:r>
      <w:r w:rsidR="00D71B30" w:rsidRPr="001137FC">
        <w:rPr>
          <w:lang w:val="de-AT"/>
        </w:rPr>
        <w:t xml:space="preserve">. </w:t>
      </w:r>
      <w:r w:rsidRPr="001137FC">
        <w:rPr>
          <w:i/>
          <w:iCs/>
          <w:lang w:val="de-AT"/>
        </w:rPr>
        <w:t>Fröhlich/Haberer</w:t>
      </w:r>
      <w:r w:rsidRPr="001137FC">
        <w:rPr>
          <w:lang w:val="de-AT"/>
        </w:rPr>
        <w:t xml:space="preserve"> halten überdies fest, dass ein nach § 59 BWG konzernrechnungslegungspflichtiges Kreditinstitut in der Rechtsform einer Kapitalgesellschaft keinen zusätzlichen Konzernabschluss nach § 244 UGB erstellen muss, selbst wenn sich aufgrund eines abweichenden Konsolidierungskreises nach BWG </w:t>
      </w:r>
      <w:proofErr w:type="spellStart"/>
      <w:r w:rsidRPr="001137FC">
        <w:rPr>
          <w:lang w:val="de-AT"/>
        </w:rPr>
        <w:t>bzw</w:t>
      </w:r>
      <w:proofErr w:type="spellEnd"/>
      <w:r w:rsidRPr="001137FC">
        <w:rPr>
          <w:lang w:val="de-AT"/>
        </w:rPr>
        <w:t xml:space="preserve"> UGB unterschiedliche Konzernabschlüsse ergeben würden</w:t>
      </w:r>
      <w:r w:rsidR="008A1849" w:rsidRPr="001137FC">
        <w:rPr>
          <w:rStyle w:val="Funotenzeichen"/>
          <w:lang w:val="de-AT"/>
        </w:rPr>
        <w:footnoteReference w:id="8"/>
      </w:r>
      <w:r w:rsidRPr="001137FC">
        <w:rPr>
          <w:lang w:val="de-AT"/>
        </w:rPr>
        <w:t xml:space="preserve">. </w:t>
      </w:r>
    </w:p>
    <w:p w14:paraId="44BCFF62" w14:textId="21F6F666" w:rsidR="00770478" w:rsidRPr="001137FC" w:rsidRDefault="00770478" w:rsidP="00A745F6">
      <w:pPr>
        <w:spacing w:after="120"/>
        <w:jc w:val="both"/>
        <w:rPr>
          <w:sz w:val="20"/>
          <w:szCs w:val="20"/>
          <w:lang w:val="de-AT"/>
        </w:rPr>
      </w:pPr>
      <w:r w:rsidRPr="001137FC">
        <w:rPr>
          <w:lang w:val="de-AT"/>
        </w:rPr>
        <w:t xml:space="preserve">Der für Kreditinstitute nach dem BWG </w:t>
      </w:r>
      <w:proofErr w:type="gramStart"/>
      <w:r w:rsidRPr="001137FC">
        <w:rPr>
          <w:lang w:val="de-AT"/>
        </w:rPr>
        <w:t>zu erstellende Konzernabschluss</w:t>
      </w:r>
      <w:proofErr w:type="gramEnd"/>
      <w:r w:rsidRPr="001137FC">
        <w:rPr>
          <w:lang w:val="de-AT"/>
        </w:rPr>
        <w:t xml:space="preserve"> und Konzernlagebericht tritt nicht neben den nach § 244 HGB </w:t>
      </w:r>
      <w:proofErr w:type="gramStart"/>
      <w:r w:rsidRPr="001137FC">
        <w:rPr>
          <w:lang w:val="de-AT"/>
        </w:rPr>
        <w:t>zu erstellenden Abschluss</w:t>
      </w:r>
      <w:proofErr w:type="gramEnd"/>
      <w:r w:rsidRPr="001137FC">
        <w:rPr>
          <w:lang w:val="de-AT"/>
        </w:rPr>
        <w:t xml:space="preserve">. Im </w:t>
      </w:r>
      <w:r w:rsidRPr="001137FC">
        <w:rPr>
          <w:lang w:val="de-AT"/>
        </w:rPr>
        <w:lastRenderedPageBreak/>
        <w:t xml:space="preserve">Hinblick auf die Derogationswirkung der §§ 59 und 30 BWG ist davon auszugehen, dass die </w:t>
      </w:r>
      <w:proofErr w:type="spellStart"/>
      <w:r w:rsidRPr="001137FC">
        <w:rPr>
          <w:lang w:val="de-AT"/>
        </w:rPr>
        <w:t>bankwesenrechtliche</w:t>
      </w:r>
      <w:proofErr w:type="spellEnd"/>
      <w:r w:rsidRPr="001137FC">
        <w:rPr>
          <w:lang w:val="de-AT"/>
        </w:rPr>
        <w:t xml:space="preserve"> Abgrenzung für den Konzernabschluss von Kreditinstituten vollständig ist; soweit §§ 244 ff UGB </w:t>
      </w:r>
      <w:proofErr w:type="gramStart"/>
      <w:r w:rsidRPr="001137FC">
        <w:rPr>
          <w:lang w:val="de-AT"/>
        </w:rPr>
        <w:t>darüber hinausgehende</w:t>
      </w:r>
      <w:proofErr w:type="gramEnd"/>
      <w:r w:rsidRPr="001137FC">
        <w:rPr>
          <w:lang w:val="de-AT"/>
        </w:rPr>
        <w:t xml:space="preserve"> Tatbestände enthalten, haben diese für Konzerne mit einem </w:t>
      </w:r>
      <w:r w:rsidR="00AF085D">
        <w:rPr>
          <w:lang w:val="de-AT"/>
        </w:rPr>
        <w:t xml:space="preserve">übergeordneten </w:t>
      </w:r>
      <w:r w:rsidRPr="001137FC">
        <w:rPr>
          <w:lang w:val="de-AT"/>
        </w:rPr>
        <w:t>Kreditinstitut keine Wirkung</w:t>
      </w:r>
      <w:r w:rsidR="008A1849" w:rsidRPr="001137FC">
        <w:rPr>
          <w:rStyle w:val="Funotenzeichen"/>
          <w:lang w:val="de-AT"/>
        </w:rPr>
        <w:footnoteReference w:id="9"/>
      </w:r>
      <w:r w:rsidRPr="001137FC">
        <w:rPr>
          <w:lang w:val="de-AT"/>
        </w:rPr>
        <w:t xml:space="preserve">. </w:t>
      </w:r>
    </w:p>
    <w:p w14:paraId="219E3403" w14:textId="7035B4F9" w:rsidR="00770478" w:rsidRPr="001137FC" w:rsidRDefault="00770478" w:rsidP="00A745F6">
      <w:pPr>
        <w:spacing w:after="120"/>
        <w:jc w:val="both"/>
        <w:rPr>
          <w:sz w:val="20"/>
          <w:szCs w:val="20"/>
          <w:lang w:val="de-AT"/>
        </w:rPr>
      </w:pPr>
      <w:r w:rsidRPr="001137FC">
        <w:rPr>
          <w:lang w:val="de-AT"/>
        </w:rPr>
        <w:t xml:space="preserve">Die Frage der </w:t>
      </w:r>
      <w:proofErr w:type="spellStart"/>
      <w:r w:rsidRPr="001137FC">
        <w:rPr>
          <w:lang w:val="de-AT"/>
        </w:rPr>
        <w:t>bankwesenrechtlichen</w:t>
      </w:r>
      <w:proofErr w:type="spellEnd"/>
      <w:r w:rsidRPr="001137FC">
        <w:rPr>
          <w:lang w:val="de-AT"/>
        </w:rPr>
        <w:t xml:space="preserve"> Konzernrechnungslegungspflicht wird durch das BWG abschließend beurteilt. Eine abweichende Ansicht ist in der Literatur, soweit überblickbar, nicht vertreten. Der oft zitierte Beitrag von Grünberger thematisiert in Fall 3 lediglich die </w:t>
      </w:r>
      <w:proofErr w:type="spellStart"/>
      <w:r w:rsidRPr="001137FC">
        <w:rPr>
          <w:lang w:val="de-AT"/>
        </w:rPr>
        <w:t>bankwesenrechtliche</w:t>
      </w:r>
      <w:proofErr w:type="spellEnd"/>
      <w:r w:rsidRPr="001137FC">
        <w:rPr>
          <w:lang w:val="de-AT"/>
        </w:rPr>
        <w:t xml:space="preserve"> Konzernrechnungslegungspflicht eines Kreditinstituts mit nachgeordneten Instituten und hält fest, dass sich im Falle von nachgeordneten Instituten untergeordneter Bedeutung die </w:t>
      </w:r>
      <w:proofErr w:type="spellStart"/>
      <w:r w:rsidRPr="001137FC">
        <w:rPr>
          <w:lang w:val="de-AT"/>
        </w:rPr>
        <w:t>bankwesenrechtliche</w:t>
      </w:r>
      <w:proofErr w:type="spellEnd"/>
      <w:r w:rsidRPr="001137FC">
        <w:rPr>
          <w:lang w:val="de-AT"/>
        </w:rPr>
        <w:t xml:space="preserve"> Aufstellungspflicht erübrigt, auch wenn eine Kreditinstitutsgruppe </w:t>
      </w:r>
      <w:proofErr w:type="spellStart"/>
      <w:r w:rsidRPr="001137FC">
        <w:rPr>
          <w:lang w:val="de-AT"/>
        </w:rPr>
        <w:t>gem</w:t>
      </w:r>
      <w:proofErr w:type="spellEnd"/>
      <w:r w:rsidRPr="001137FC">
        <w:rPr>
          <w:lang w:val="de-AT"/>
        </w:rPr>
        <w:t xml:space="preserve"> § 30 BWG vorliegt. Zu der Frage einer zusätzlich zu prüfenden Konzernaufstellungspflicht nach § 244 UGB wird dabei keine Aussage getroffen</w:t>
      </w:r>
      <w:r w:rsidR="008A1849" w:rsidRPr="001137FC">
        <w:rPr>
          <w:rStyle w:val="Funotenzeichen"/>
          <w:lang w:val="de-AT"/>
        </w:rPr>
        <w:footnoteReference w:id="10"/>
      </w:r>
      <w:r w:rsidRPr="001137FC">
        <w:rPr>
          <w:lang w:val="de-AT"/>
        </w:rPr>
        <w:t xml:space="preserve">. </w:t>
      </w:r>
    </w:p>
    <w:p w14:paraId="76383499" w14:textId="3DD60FAF" w:rsidR="00D71B30" w:rsidRPr="001137FC" w:rsidRDefault="00D71B30" w:rsidP="00FD13B6">
      <w:pPr>
        <w:pStyle w:val="berschrift3"/>
        <w:numPr>
          <w:ilvl w:val="2"/>
          <w:numId w:val="4"/>
        </w:numPr>
        <w:jc w:val="both"/>
      </w:pPr>
      <w:r w:rsidRPr="001137FC">
        <w:t>Analyse des § 43 Abs 1 BWG</w:t>
      </w:r>
    </w:p>
    <w:p w14:paraId="6546B995" w14:textId="55B872D3" w:rsidR="00D71B30" w:rsidRPr="001137FC" w:rsidRDefault="00D71B30" w:rsidP="00A745F6">
      <w:pPr>
        <w:spacing w:after="120"/>
        <w:jc w:val="both"/>
        <w:rPr>
          <w:lang w:val="de-AT"/>
        </w:rPr>
      </w:pPr>
      <w:r w:rsidRPr="001137FC">
        <w:rPr>
          <w:lang w:val="de-AT"/>
        </w:rPr>
        <w:t xml:space="preserve">Zur gleichen Schlussfolgerung gelangt man bei näherer Betrachtung des § 43 Abs 1 BWG, auch wenn die Anwendung des § 189 Abs 3 UGB für die Anerkennung der Derogation des § 244 UGB durch § 59 BWG bereits ausreicht. Die Regelungssystematik des § 43 Abs 1 BWG verlangt die Anwendung des dritten Buches des UGB auch für Kreditinstitute, wobei gewisse Bestimmungen von der Anwendung ausgenommen werden. § 244 UGB ist nicht explizit ausgenommen. </w:t>
      </w:r>
    </w:p>
    <w:p w14:paraId="26B84C33" w14:textId="7F0298A8" w:rsidR="00363D4D" w:rsidRPr="001137FC" w:rsidRDefault="00D71B30" w:rsidP="00A745F6">
      <w:pPr>
        <w:pStyle w:val="FirstParagraph"/>
        <w:jc w:val="both"/>
        <w:rPr>
          <w:lang w:val="de-AT"/>
        </w:rPr>
      </w:pPr>
      <w:r w:rsidRPr="001137FC">
        <w:rPr>
          <w:lang w:val="de-AT"/>
        </w:rPr>
        <w:t xml:space="preserve">Die Aufzählung der Ausnahmebestimmungen ist allerdings nicht taxativ. </w:t>
      </w:r>
      <w:r w:rsidR="009A3669" w:rsidRPr="001137FC">
        <w:rPr>
          <w:lang w:val="de-AT"/>
        </w:rPr>
        <w:t>Vielmehr handelt es sich um eine exemplarische Nennung besonders bedeutsamer Abweichungen. So halten schon die Gesetzesmaterialien</w:t>
      </w:r>
      <w:r w:rsidR="008A1849" w:rsidRPr="001137FC">
        <w:rPr>
          <w:rStyle w:val="Funotenzeichen"/>
          <w:lang w:val="de-AT"/>
        </w:rPr>
        <w:footnoteReference w:id="11"/>
      </w:r>
      <w:r w:rsidR="009A3669" w:rsidRPr="001137FC">
        <w:rPr>
          <w:lang w:val="de-AT"/>
        </w:rPr>
        <w:t xml:space="preserve"> fest, dass neben den genannten Ausnahmebestimmungen noch zahlreiche andere unternehmensrechtliche Bestimmungen vom BWG derogiert werden</w:t>
      </w:r>
      <w:r w:rsidR="00363D4D" w:rsidRPr="001137FC">
        <w:rPr>
          <w:rStyle w:val="Funotenzeichen"/>
          <w:lang w:val="de-AT"/>
        </w:rPr>
        <w:footnoteReference w:id="12"/>
      </w:r>
      <w:r w:rsidR="009A3669" w:rsidRPr="001137FC">
        <w:rPr>
          <w:lang w:val="de-AT"/>
        </w:rPr>
        <w:t xml:space="preserve">. </w:t>
      </w:r>
      <w:r w:rsidRPr="001137FC">
        <w:rPr>
          <w:i/>
          <w:iCs/>
          <w:lang w:val="de-AT"/>
        </w:rPr>
        <w:t>Brandner</w:t>
      </w:r>
      <w:r w:rsidRPr="001137FC">
        <w:rPr>
          <w:lang w:val="de-AT"/>
        </w:rPr>
        <w:t xml:space="preserve"> führt aus, dass neben den genannten Ausnahmebestimmungen noch zahlreiche andere unternehmensrechtliche Bestimmungen vom BWG derogiert werden</w:t>
      </w:r>
      <w:r w:rsidR="008A1849" w:rsidRPr="001137FC">
        <w:rPr>
          <w:rStyle w:val="Funotenzeichen"/>
          <w:lang w:val="de-AT"/>
        </w:rPr>
        <w:footnoteReference w:id="13"/>
      </w:r>
      <w:r w:rsidRPr="001137FC">
        <w:rPr>
          <w:lang w:val="de-AT"/>
        </w:rPr>
        <w:t xml:space="preserve">. </w:t>
      </w:r>
      <w:proofErr w:type="spellStart"/>
      <w:r w:rsidRPr="001137FC">
        <w:rPr>
          <w:i/>
          <w:iCs/>
          <w:lang w:val="de-AT"/>
        </w:rPr>
        <w:t>Martetschläger</w:t>
      </w:r>
      <w:proofErr w:type="spellEnd"/>
      <w:r w:rsidRPr="001137FC">
        <w:rPr>
          <w:lang w:val="de-AT"/>
        </w:rPr>
        <w:t xml:space="preserve"> bestätigt diese Auffassung </w:t>
      </w:r>
      <w:r w:rsidR="008A1849" w:rsidRPr="001137FC">
        <w:rPr>
          <w:rStyle w:val="Funotenzeichen"/>
          <w:lang w:val="de-AT"/>
        </w:rPr>
        <w:footnoteReference w:id="14"/>
      </w:r>
      <w:r w:rsidR="008A1849" w:rsidRPr="001137FC">
        <w:rPr>
          <w:lang w:val="de-AT"/>
        </w:rPr>
        <w:t xml:space="preserve">. </w:t>
      </w:r>
      <w:r w:rsidRPr="001137FC">
        <w:rPr>
          <w:i/>
          <w:iCs/>
          <w:lang w:val="de-AT"/>
        </w:rPr>
        <w:t xml:space="preserve">Gaber </w:t>
      </w:r>
      <w:r w:rsidRPr="001137FC">
        <w:rPr>
          <w:lang w:val="de-AT"/>
        </w:rPr>
        <w:t xml:space="preserve">weist darauf hin, dass für Kreditinstitute die Vorschriften des BWG vorrangig anzuwenden sind, womit sich für Fälle eines Widerspruchs eine gewisse Schichtung unter derogatorischen </w:t>
      </w:r>
      <w:proofErr w:type="spellStart"/>
      <w:r w:rsidRPr="001137FC">
        <w:rPr>
          <w:lang w:val="de-AT"/>
        </w:rPr>
        <w:t>Vorrangsgesichtspunkten</w:t>
      </w:r>
      <w:proofErr w:type="spellEnd"/>
      <w:r w:rsidRPr="001137FC">
        <w:rPr>
          <w:lang w:val="de-AT"/>
        </w:rPr>
        <w:t xml:space="preserve"> der jeweils spezielleren Norm ergibt. Als Beispiel nennt er die kreditinstitutsspezifische Bilanzierung von Finanzinstrumenten, die ebenfalls die unternehmensrechtlichen </w:t>
      </w:r>
      <w:r w:rsidRPr="001137FC">
        <w:rPr>
          <w:lang w:val="de-AT"/>
        </w:rPr>
        <w:lastRenderedPageBreak/>
        <w:t xml:space="preserve">Bestimmungen diesbezüglich verdrängt, ohne im § 43 Abs 1 BWG ausgenommen zu sein </w:t>
      </w:r>
      <w:r w:rsidR="008A1849" w:rsidRPr="001137FC">
        <w:rPr>
          <w:rStyle w:val="Funotenzeichen"/>
          <w:lang w:val="de-AT"/>
        </w:rPr>
        <w:footnoteReference w:id="15"/>
      </w:r>
      <w:r w:rsidR="008A1849" w:rsidRPr="001137FC">
        <w:rPr>
          <w:lang w:val="de-AT"/>
        </w:rPr>
        <w:t>.</w:t>
      </w:r>
      <w:r w:rsidRPr="001137FC">
        <w:rPr>
          <w:lang w:val="de-AT"/>
        </w:rPr>
        <w:t>Grünberger verweist zusätzlich auf die Derogation von § 245 UGB</w:t>
      </w:r>
      <w:r w:rsidR="00AF085D">
        <w:rPr>
          <w:rStyle w:val="Funotenzeichen"/>
          <w:lang w:val="de-AT"/>
        </w:rPr>
        <w:footnoteReference w:id="16"/>
      </w:r>
      <w:r w:rsidR="00363D4D" w:rsidRPr="001137FC">
        <w:rPr>
          <w:lang w:val="de-AT"/>
        </w:rPr>
        <w:t>.</w:t>
      </w:r>
    </w:p>
    <w:p w14:paraId="2D5BC5E9" w14:textId="1E35CB3E" w:rsidR="00D71B30" w:rsidRPr="001137FC" w:rsidRDefault="00D71B30" w:rsidP="00A745F6">
      <w:pPr>
        <w:pStyle w:val="FirstParagraph"/>
        <w:jc w:val="both"/>
        <w:rPr>
          <w:lang w:val="de-AT"/>
        </w:rPr>
      </w:pPr>
      <w:r w:rsidRPr="001137FC">
        <w:rPr>
          <w:lang w:val="de-AT"/>
        </w:rPr>
        <w:t>Zusammenfassend bedarf es keiner expliziten Ausnahme des § 244 UGB in § 43 Abs 1 BWG für die Derogation, da es sich bei den in § 43 Abs 1 BWG genannten Ausnahmebestimmungen offenkundig um eine unvollständige Aufzählung handelt</w:t>
      </w:r>
      <w:r w:rsidR="00FC69C5" w:rsidRPr="001137FC">
        <w:rPr>
          <w:rStyle w:val="Funotenzeichen"/>
          <w:lang w:val="de-AT"/>
        </w:rPr>
        <w:footnoteReference w:id="17"/>
      </w:r>
      <w:r w:rsidRPr="001137FC">
        <w:rPr>
          <w:lang w:val="de-AT"/>
        </w:rPr>
        <w:t>.</w:t>
      </w:r>
    </w:p>
    <w:p w14:paraId="0D099854" w14:textId="21A7678F" w:rsidR="00E1439B" w:rsidRPr="001137FC" w:rsidRDefault="00D71B30" w:rsidP="00A745F6">
      <w:pPr>
        <w:spacing w:after="120"/>
        <w:jc w:val="both"/>
        <w:rPr>
          <w:lang w:val="de-AT"/>
        </w:rPr>
      </w:pPr>
      <w:r w:rsidRPr="001137FC">
        <w:rPr>
          <w:lang w:val="de-AT"/>
        </w:rPr>
        <w:t xml:space="preserve">Nicht vertretbar ist die Auffassung, dass mit dem Verweis in § 43 Abs 1 BWG auf das dritte Buch des UGB verbunden sei, dass Kreditinstitute einen Konzernabschluss nach § 59 BWG und zusätzlich einen unabhängigen zweiten Konzernabschluss nach § 244 UGB erstellen müssten. Diese Doppelgleisigkeit würde </w:t>
      </w:r>
      <w:proofErr w:type="gramStart"/>
      <w:r w:rsidRPr="001137FC">
        <w:rPr>
          <w:lang w:val="de-AT"/>
        </w:rPr>
        <w:t>ja letztlich</w:t>
      </w:r>
      <w:proofErr w:type="gramEnd"/>
      <w:r w:rsidRPr="001137FC">
        <w:rPr>
          <w:lang w:val="de-AT"/>
        </w:rPr>
        <w:t xml:space="preserve"> auch die Einzelabschlusspflicht und die sonstigen Sondervorschriften für die Gliederung und Bewertung betreffen, indem der jeweilige UGB-Abschluss sozusagen parallel zum BWG-Abschluss und ausschließlich nach den Regelungen des UGB zu erstellen wäre. Sie entspricht weder den diesbezüglich eindeutigen europarechtlichen Vorgaben noch den historischen Überlegungen des österreichischen Gesetzgebers</w:t>
      </w:r>
      <w:r w:rsidR="00E1439B" w:rsidRPr="001137FC">
        <w:rPr>
          <w:lang w:val="de-AT"/>
        </w:rPr>
        <w:t xml:space="preserve">. Diese Auffassung wird auch durch die jahrelange Praxis materieller österreichischer Kreditinstitute und Kreditinstitutsgruppen widerlegt. </w:t>
      </w:r>
    </w:p>
    <w:p w14:paraId="11BE5C34" w14:textId="7DE76AE6" w:rsidR="00E1439B" w:rsidRPr="001137FC" w:rsidRDefault="00E1439B" w:rsidP="00A745F6">
      <w:pPr>
        <w:spacing w:after="120"/>
        <w:jc w:val="both"/>
        <w:rPr>
          <w:lang w:val="de-AT"/>
        </w:rPr>
      </w:pPr>
      <w:r w:rsidRPr="001137FC">
        <w:rPr>
          <w:lang w:val="de-AT"/>
        </w:rPr>
        <w:t xml:space="preserve">Es gibt dabei nur einen Konzernabschluss, nämlich jenen, der auf der kombinierten Anwendung des Dritten Buchs des UGB und der Regelungen des BWG basiert. Der für Kreditinstitute nach dem BWG </w:t>
      </w:r>
      <w:proofErr w:type="gramStart"/>
      <w:r w:rsidRPr="001137FC">
        <w:rPr>
          <w:lang w:val="de-AT"/>
        </w:rPr>
        <w:t>zu erstellende Konzernabschluss</w:t>
      </w:r>
      <w:proofErr w:type="gramEnd"/>
      <w:r w:rsidRPr="001137FC">
        <w:rPr>
          <w:lang w:val="de-AT"/>
        </w:rPr>
        <w:t xml:space="preserve"> und Konzernlagebericht tritt damit nicht neben den nach § 244 UGB </w:t>
      </w:r>
      <w:proofErr w:type="gramStart"/>
      <w:r w:rsidRPr="001137FC">
        <w:rPr>
          <w:lang w:val="de-AT"/>
        </w:rPr>
        <w:t>zu erstellenden Abschluss</w:t>
      </w:r>
      <w:proofErr w:type="gramEnd"/>
      <w:r w:rsidRPr="001137FC">
        <w:rPr>
          <w:lang w:val="de-AT"/>
        </w:rPr>
        <w:t xml:space="preserve">. Das BWG ersetzt vielmehr die Pflicht, einen Konzernabschluss nach allgemeinem </w:t>
      </w:r>
      <w:r w:rsidR="00363D4D" w:rsidRPr="001137FC">
        <w:rPr>
          <w:lang w:val="de-AT"/>
        </w:rPr>
        <w:t>Unternehmensrecht</w:t>
      </w:r>
      <w:r w:rsidRPr="001137FC">
        <w:rPr>
          <w:lang w:val="de-AT"/>
        </w:rPr>
        <w:t xml:space="preserve"> aufzustellen, durch einen eigenständigen Aufstellungstatbestand in § 59 BWG und verweist nur hinsichtlich der anzuwendenden Einzelregelungen weitgehend auf Abschnitt 3 der im UGB enthaltenen Rechnungslegungsvorschriften</w:t>
      </w:r>
      <w:r w:rsidR="00FC69C5" w:rsidRPr="001137FC">
        <w:rPr>
          <w:rStyle w:val="Funotenzeichen"/>
          <w:lang w:val="de-AT"/>
        </w:rPr>
        <w:footnoteReference w:id="18"/>
      </w:r>
      <w:r w:rsidRPr="001137FC">
        <w:rPr>
          <w:lang w:val="de-AT"/>
        </w:rPr>
        <w:t>.</w:t>
      </w:r>
    </w:p>
    <w:p w14:paraId="7396D033" w14:textId="40B3D60E" w:rsidR="00E1439B" w:rsidRPr="001137FC" w:rsidRDefault="00E1439B" w:rsidP="00A745F6">
      <w:pPr>
        <w:spacing w:after="120"/>
        <w:jc w:val="both"/>
        <w:rPr>
          <w:sz w:val="20"/>
          <w:szCs w:val="20"/>
          <w:lang w:val="de-AT"/>
        </w:rPr>
      </w:pPr>
      <w:r w:rsidRPr="001137FC">
        <w:rPr>
          <w:lang w:val="de-AT"/>
        </w:rPr>
        <w:t xml:space="preserve">Zusammenfassend </w:t>
      </w:r>
      <w:r w:rsidR="00536937" w:rsidRPr="001137FC">
        <w:rPr>
          <w:lang w:val="de-AT"/>
        </w:rPr>
        <w:t>bedarf</w:t>
      </w:r>
      <w:r w:rsidRPr="001137FC">
        <w:rPr>
          <w:lang w:val="de-AT"/>
        </w:rPr>
        <w:t xml:space="preserve"> es keiner expliziten Ausnahme des § 244 UGB in § 43 Abs 1 BWG für die Derogation, da es sich bei den in § 43 Abs 1 BWG genannten Ausnahmebestimmungen offenkundig um eine unvollständige Aufzählung handelt</w:t>
      </w:r>
      <w:r w:rsidR="00FC69C5" w:rsidRPr="001137FC">
        <w:rPr>
          <w:rStyle w:val="Funotenzeichen"/>
          <w:lang w:val="de-AT"/>
        </w:rPr>
        <w:footnoteReference w:id="19"/>
      </w:r>
      <w:r w:rsidRPr="001137FC">
        <w:rPr>
          <w:lang w:val="de-AT"/>
        </w:rPr>
        <w:t xml:space="preserve">. </w:t>
      </w:r>
    </w:p>
    <w:p w14:paraId="61C49FF6" w14:textId="30CCFE7F" w:rsidR="00487690" w:rsidRPr="001137FC" w:rsidRDefault="00E1439B" w:rsidP="00FD13B6">
      <w:pPr>
        <w:pStyle w:val="berschrift2"/>
        <w:numPr>
          <w:ilvl w:val="1"/>
          <w:numId w:val="2"/>
        </w:numPr>
        <w:jc w:val="both"/>
      </w:pPr>
      <w:bookmarkStart w:id="8" w:name="grundlagen-der-ias-verordnung"/>
      <w:bookmarkStart w:id="9" w:name="Xba02afa127e3b696e0233f7f22a3a8f27d49cec"/>
      <w:bookmarkEnd w:id="6"/>
      <w:bookmarkEnd w:id="7"/>
      <w:r w:rsidRPr="001137FC">
        <w:t>IFRS-Konzernabschluss nach § 59a BWG</w:t>
      </w:r>
    </w:p>
    <w:p w14:paraId="4F397D47" w14:textId="77777777" w:rsidR="00487690" w:rsidRPr="001137FC" w:rsidRDefault="00CE34D9" w:rsidP="00A745F6">
      <w:pPr>
        <w:pStyle w:val="FirstParagraph"/>
        <w:jc w:val="both"/>
        <w:rPr>
          <w:lang w:val="de-AT"/>
        </w:rPr>
      </w:pPr>
      <w:r w:rsidRPr="001137FC">
        <w:rPr>
          <w:lang w:val="de-AT"/>
        </w:rPr>
        <w:t>Mit der Verordnung (EG) Nr. 1606/2002 des Europäischen Parlaments und des Rates vom 19. Juli 2002 betreffend die Anwendung internationaler Rechnungslegungsstandards, der sogenannten IAS-Verordnung, wurde ein bedeutender Schritt zur Harmonisierung der Konzernrechnungslegung in der Europäischen Union gesetzt. Die IAS-Verordnung verpflichtet kapitalmarktorientierte Unternehmen zur Aufstellung ihrer Konzernabschlüsse nach den International Financial Reporting Standards.</w:t>
      </w:r>
    </w:p>
    <w:p w14:paraId="6B87EF9F" w14:textId="309CF02B" w:rsidR="00487690" w:rsidRPr="001137FC" w:rsidRDefault="00CE34D9" w:rsidP="00A745F6">
      <w:pPr>
        <w:pStyle w:val="Textkrper"/>
        <w:jc w:val="both"/>
        <w:rPr>
          <w:lang w:val="de-AT"/>
        </w:rPr>
      </w:pPr>
      <w:r w:rsidRPr="001137FC">
        <w:rPr>
          <w:lang w:val="de-AT"/>
        </w:rPr>
        <w:lastRenderedPageBreak/>
        <w:t>Eine Konzernaufstellungspflicht nach IFRS entsteht nach Art 4 IAS-Verordnung, wenn die Pflicht zur Aufstellung eines Konzernabschlusses nach österreichischem Recht besteht und Wertpapiere an einem geregelten Markt der Europäischen Union emittiert werden, die sogenannte Kapitalmarktorientierung. Mit dem Rechnungslegungsänderungsgesetz 2004 wurde die IAS-Verordnung in österreichisches Recht umgesetzt. Für Kreditinstitute erfolgte dies insbesondere durch die Einführung des § 245a UGB und des § 59a BWG.</w:t>
      </w:r>
      <w:r w:rsidR="00574FF8" w:rsidRPr="001137FC">
        <w:rPr>
          <w:lang w:val="de-AT"/>
        </w:rPr>
        <w:t xml:space="preserve"> Der § 248 UGB wurden infolgedessen gestrichen.</w:t>
      </w:r>
    </w:p>
    <w:p w14:paraId="59009701" w14:textId="11422802" w:rsidR="00487690" w:rsidRPr="001137FC" w:rsidRDefault="00CE34D9" w:rsidP="00FD13B6">
      <w:pPr>
        <w:pStyle w:val="berschrift3"/>
        <w:numPr>
          <w:ilvl w:val="2"/>
          <w:numId w:val="4"/>
        </w:numPr>
        <w:jc w:val="both"/>
      </w:pPr>
      <w:bookmarkStart w:id="10" w:name="umsetzung-durch-245a-ugb-und-59a-bwg"/>
      <w:bookmarkEnd w:id="8"/>
      <w:r w:rsidRPr="001137FC">
        <w:t>Umsetzung durch § 245a UGB und § 59a BWG</w:t>
      </w:r>
    </w:p>
    <w:p w14:paraId="06ADDF1A" w14:textId="2C70243D" w:rsidR="00487690" w:rsidRPr="001137FC" w:rsidRDefault="00CE34D9" w:rsidP="00A745F6">
      <w:pPr>
        <w:pStyle w:val="FirstParagraph"/>
        <w:jc w:val="both"/>
        <w:rPr>
          <w:lang w:val="de-AT"/>
        </w:rPr>
      </w:pPr>
      <w:r w:rsidRPr="001137FC">
        <w:rPr>
          <w:lang w:val="de-AT"/>
        </w:rPr>
        <w:t xml:space="preserve">Den Erläuterungen zu § 245a UGB ist zu entnehmen, dass Art 4 der IAS-Verordnung nur regelt, nach welchen Standards der Konzernabschluss aufzustellen ist, und nicht, ob ein Konzernabschluss aufgestellt werden muss. Die Pflicht zur Aufstellung eines Konzernabschlusses ergibt sich daher weiterhin aus den Bestimmungen des UGB zur Umsetzung der Art 1 ff der Konzernbilanzrichtlinie. </w:t>
      </w:r>
    </w:p>
    <w:p w14:paraId="35BFCE78" w14:textId="77777777" w:rsidR="00221C01" w:rsidRPr="001137FC" w:rsidRDefault="00221C01" w:rsidP="00A745F6">
      <w:pPr>
        <w:pStyle w:val="Textkrper"/>
        <w:jc w:val="both"/>
        <w:rPr>
          <w:lang w:val="de-AT"/>
        </w:rPr>
      </w:pPr>
      <w:r w:rsidRPr="001137FC">
        <w:rPr>
          <w:lang w:val="de-AT"/>
        </w:rPr>
        <w:t>Als Konsequenz der unmittelbaren innerstaatlichen Geltung der IAS-Verordnung ergibt sich, dass durch die obligatorische als auch die fakultative Aufstellung eines Konzernabschlusses gemäß IAS/IFRS etliche Bestimmungen des BWG in diesem Bereich automatisch ihre Anwendbarkeit verlieren, namentlich die Anlage zu § 43 sowie die §§ 45 bis 59. Das soll im Gesetzestext nicht explizit betont werden, da ein Verbot spezieller Transformation, inhaltlicher Wiederholung sowie inhaltlicher Präzisierung einer EU-Verordnung besteht. Dem steht allerdings nicht entgegen, in gewissen Bereichen zusätzliche Angaben zu fordern, wie dies im vorliegenden Fall für den Anhang geschieht, da die diesbezüglichen IAS-Standards lediglich Mindestkriterien für den Inhalt des Anhangs vorschreiben.</w:t>
      </w:r>
    </w:p>
    <w:p w14:paraId="5754A4D6" w14:textId="7B94CE92" w:rsidR="00487690" w:rsidRPr="001137FC" w:rsidRDefault="00FB6FF6" w:rsidP="00A745F6">
      <w:pPr>
        <w:pStyle w:val="Textkrper"/>
        <w:jc w:val="both"/>
        <w:rPr>
          <w:lang w:val="de-AT"/>
        </w:rPr>
      </w:pPr>
      <w:r w:rsidRPr="001137FC">
        <w:rPr>
          <w:lang w:val="de-AT"/>
        </w:rPr>
        <w:t xml:space="preserve">Den Erläuterungen zu § 59a BWG ist ergänzend zu entnehmen: „Mit dieser Bestimmung wird die Regelung des § 245a HGB unter Beachtung spezifisch kreditwirtschaftlicher Normen in das BWG rezipiert“. </w:t>
      </w:r>
      <w:r w:rsidR="00CE34D9" w:rsidRPr="001137FC">
        <w:rPr>
          <w:lang w:val="de-AT"/>
        </w:rPr>
        <w:t>Es wird sowohl für Konzernabschlüsse gemäß Art 4 der IAS-Verordnung als auch für fakultative Konzernabschlüsse gemäß § 245a Abs 2 UGB festgelegt, dass die Spezialvorschriften des BWG hinsichtlich des Konzernanhangs in § 64 Abs 1 und 2, mit Ausnahme des Verweises auf das UGB, weiterhin anwendbar sind. Damit sollen einheitliche Informationen für alle Konzernabschlüsse von Kreditinstitutsgruppen im Bereich des Konzernanhangs sichergestellt werden.</w:t>
      </w:r>
    </w:p>
    <w:p w14:paraId="47B2C88C" w14:textId="18607EE3" w:rsidR="00FB6FF6" w:rsidRPr="001137FC" w:rsidRDefault="004A7E86" w:rsidP="00A745F6">
      <w:pPr>
        <w:pStyle w:val="Textkrper"/>
        <w:jc w:val="both"/>
        <w:rPr>
          <w:lang w:val="de-AT"/>
        </w:rPr>
      </w:pPr>
      <w:r w:rsidRPr="001137FC">
        <w:rPr>
          <w:lang w:val="de-AT"/>
        </w:rPr>
        <w:t>Die genannten Erläuterungen zu § 59a BWG (</w:t>
      </w:r>
      <w:proofErr w:type="spellStart"/>
      <w:r w:rsidRPr="001137FC">
        <w:rPr>
          <w:lang w:val="de-AT"/>
        </w:rPr>
        <w:t>insb</w:t>
      </w:r>
      <w:proofErr w:type="spellEnd"/>
      <w:r w:rsidRPr="001137FC">
        <w:rPr>
          <w:lang w:val="de-AT"/>
        </w:rPr>
        <w:t xml:space="preserve"> die Wortfolge „Beachtung spezifisch kreditwirtschaftlicher Normen in das BWG“, sowie der Satz</w:t>
      </w:r>
      <w:r w:rsidR="00FB6FF6" w:rsidRPr="001137FC">
        <w:rPr>
          <w:lang w:val="de-AT"/>
        </w:rPr>
        <w:t xml:space="preserve"> “Damit sollen einheitliche Informationen für alle Konzernabschlüsse von Kreditinstitutsgruppen im Bereich des Konzernanhangs sichergestellt werden” zeigen bereits die Maßgeblichkeit der §§ 59 und 30 BWG für die Beurteilung der nationalen Konzernaufstellungspflicht.</w:t>
      </w:r>
    </w:p>
    <w:p w14:paraId="07885AF4" w14:textId="07B8B3AC" w:rsidR="00221C01" w:rsidRPr="001137FC" w:rsidRDefault="00221C01" w:rsidP="00A745F6">
      <w:pPr>
        <w:pStyle w:val="Textkrper"/>
        <w:jc w:val="both"/>
        <w:rPr>
          <w:lang w:val="de-AT"/>
        </w:rPr>
      </w:pPr>
      <w:r w:rsidRPr="00221C01">
        <w:rPr>
          <w:lang w:val="de-AT"/>
        </w:rPr>
        <w:t xml:space="preserve">Die </w:t>
      </w:r>
      <w:r w:rsidRPr="001137FC">
        <w:rPr>
          <w:lang w:val="de-AT"/>
        </w:rPr>
        <w:t xml:space="preserve">mit der </w:t>
      </w:r>
      <w:r w:rsidRPr="00221C01">
        <w:rPr>
          <w:lang w:val="de-AT"/>
        </w:rPr>
        <w:t>Umsetzung der IAS-Verordnung verbundene</w:t>
      </w:r>
      <w:r w:rsidRPr="001137FC">
        <w:rPr>
          <w:lang w:val="de-AT"/>
        </w:rPr>
        <w:t xml:space="preserve"> </w:t>
      </w:r>
      <w:r w:rsidRPr="00221C01">
        <w:rPr>
          <w:lang w:val="de-AT"/>
        </w:rPr>
        <w:t>Streichung des § 248 UGB änder</w:t>
      </w:r>
      <w:r w:rsidRPr="001137FC">
        <w:rPr>
          <w:lang w:val="de-AT"/>
        </w:rPr>
        <w:t>t</w:t>
      </w:r>
      <w:r w:rsidRPr="00221C01">
        <w:rPr>
          <w:lang w:val="de-AT"/>
        </w:rPr>
        <w:t xml:space="preserve"> daran nichts. Denn wie sich aus einer Vielzahl von</w:t>
      </w:r>
      <w:r w:rsidRPr="001137FC">
        <w:rPr>
          <w:lang w:val="de-AT"/>
        </w:rPr>
        <w:t xml:space="preserve"> </w:t>
      </w:r>
      <w:r w:rsidRPr="00221C01">
        <w:rPr>
          <w:lang w:val="de-AT"/>
        </w:rPr>
        <w:t>Quellen ergibt, greift die IAS-VO nicht in das Bestehen oder Nichtbestehen einer</w:t>
      </w:r>
      <w:r w:rsidRPr="001137FC">
        <w:rPr>
          <w:lang w:val="de-AT"/>
        </w:rPr>
        <w:t xml:space="preserve"> </w:t>
      </w:r>
      <w:r w:rsidRPr="00221C01">
        <w:rPr>
          <w:lang w:val="de-AT"/>
        </w:rPr>
        <w:t>Verpflichtung zur Aufstellung von Jahres- bzw. Konzernabschlüssen ein, sondern</w:t>
      </w:r>
      <w:r w:rsidRPr="001137FC">
        <w:rPr>
          <w:lang w:val="de-AT"/>
        </w:rPr>
        <w:t xml:space="preserve"> </w:t>
      </w:r>
      <w:r w:rsidRPr="00221C01">
        <w:rPr>
          <w:lang w:val="de-AT"/>
        </w:rPr>
        <w:t>trifft lediglich Regelungen hinsichtlich des anwendbaren materiellen Bilanzrechts, das</w:t>
      </w:r>
      <w:r w:rsidRPr="001137FC">
        <w:rPr>
          <w:lang w:val="de-AT"/>
        </w:rPr>
        <w:t xml:space="preserve"> </w:t>
      </w:r>
      <w:r w:rsidRPr="00221C01">
        <w:rPr>
          <w:lang w:val="de-AT"/>
        </w:rPr>
        <w:t>die Inhalte von Jahresabschlüssen definiert. Zudem wurde § 248 UGB durch die</w:t>
      </w:r>
      <w:r w:rsidRPr="001137FC">
        <w:rPr>
          <w:lang w:val="de-AT"/>
        </w:rPr>
        <w:t xml:space="preserve"> S</w:t>
      </w:r>
      <w:r w:rsidRPr="00221C01">
        <w:rPr>
          <w:lang w:val="de-AT"/>
        </w:rPr>
        <w:t>ondernormen des § 59 BWG bereits vor dessen Aufhebung durch das RÄG 2004 im</w:t>
      </w:r>
      <w:r w:rsidRPr="001137FC">
        <w:rPr>
          <w:lang w:val="de-AT"/>
        </w:rPr>
        <w:t xml:space="preserve"> </w:t>
      </w:r>
      <w:r w:rsidRPr="00221C01">
        <w:rPr>
          <w:lang w:val="de-AT"/>
        </w:rPr>
        <w:t>Sinne einer abschließenden Typisierung der Branchenfremdheit für</w:t>
      </w:r>
      <w:r w:rsidRPr="001137FC">
        <w:rPr>
          <w:lang w:val="de-AT"/>
        </w:rPr>
        <w:t xml:space="preserve"> </w:t>
      </w:r>
      <w:r w:rsidRPr="00221C01">
        <w:rPr>
          <w:lang w:val="de-AT"/>
        </w:rPr>
        <w:lastRenderedPageBreak/>
        <w:t>Kreditinstitutsgruppen verdrängt</w:t>
      </w:r>
      <w:r w:rsidR="00FC69C5" w:rsidRPr="001137FC">
        <w:rPr>
          <w:rStyle w:val="Funotenzeichen"/>
          <w:lang w:val="de-AT"/>
        </w:rPr>
        <w:footnoteReference w:id="20"/>
      </w:r>
      <w:r w:rsidR="00FC69C5" w:rsidRPr="001137FC">
        <w:rPr>
          <w:lang w:val="de-AT"/>
        </w:rPr>
        <w:t xml:space="preserve">. </w:t>
      </w:r>
      <w:r w:rsidRPr="00221C01">
        <w:rPr>
          <w:lang w:val="de-AT"/>
        </w:rPr>
        <w:t>Die durch den Gesetzgeber veranlasste Aufhebung</w:t>
      </w:r>
      <w:r w:rsidRPr="001137FC">
        <w:rPr>
          <w:lang w:val="de-AT"/>
        </w:rPr>
        <w:t xml:space="preserve"> einer durch Sonderbilanzrecht im Bereich von Kreditinstitutsgruppen verdrängten Vorschrift kann dabei naturgemäß auf die Rechnungslegung der Kreditinstitute und </w:t>
      </w:r>
      <w:r w:rsidRPr="00221C01">
        <w:rPr>
          <w:lang w:val="de-AT"/>
        </w:rPr>
        <w:t>Kreditinstitutsgruppen keinen Einfluss haben, da sie ja schon bis zu diesem Zeitpunkt</w:t>
      </w:r>
      <w:r w:rsidRPr="001137FC">
        <w:rPr>
          <w:lang w:val="de-AT"/>
        </w:rPr>
        <w:t xml:space="preserve"> auf deren Jahresabschlüsse keine Anwendbarkeit gefunden hat.</w:t>
      </w:r>
    </w:p>
    <w:p w14:paraId="122F6E2A" w14:textId="0A5D9515" w:rsidR="00487690" w:rsidRPr="001137FC" w:rsidRDefault="00CE34D9" w:rsidP="00FD13B6">
      <w:pPr>
        <w:pStyle w:val="berschrift3"/>
        <w:numPr>
          <w:ilvl w:val="2"/>
          <w:numId w:val="4"/>
        </w:numPr>
        <w:jc w:val="both"/>
      </w:pPr>
      <w:bookmarkStart w:id="11" w:name="maßgeblichkeit-der-59-und-30-bwg"/>
      <w:bookmarkEnd w:id="10"/>
      <w:r w:rsidRPr="001137FC">
        <w:t>Maßgeblichkeit der §§ 59 und 30 BWG</w:t>
      </w:r>
    </w:p>
    <w:p w14:paraId="73D080FE" w14:textId="132E885C" w:rsidR="004A7E86" w:rsidRPr="001137FC" w:rsidRDefault="00221C01" w:rsidP="00A745F6">
      <w:pPr>
        <w:spacing w:after="120"/>
        <w:jc w:val="both"/>
        <w:rPr>
          <w:lang w:val="de-AT"/>
        </w:rPr>
      </w:pPr>
      <w:r w:rsidRPr="001137FC">
        <w:rPr>
          <w:lang w:val="de-AT"/>
        </w:rPr>
        <w:t xml:space="preserve">Die Maßgeblichkeit der §§ 59 und 30 BWG für die Beurteilung der nationalen Konzernaufstellungspflicht wird auch von der Literatur einig </w:t>
      </w:r>
      <w:proofErr w:type="spellStart"/>
      <w:proofErr w:type="gramStart"/>
      <w:r w:rsidRPr="001137FC">
        <w:rPr>
          <w:lang w:val="de-AT"/>
        </w:rPr>
        <w:t>vertreten.</w:t>
      </w:r>
      <w:r w:rsidR="00FB12E1" w:rsidRPr="001137FC">
        <w:rPr>
          <w:lang w:val="de-AT"/>
        </w:rPr>
        <w:t>Stellvertretend</w:t>
      </w:r>
      <w:proofErr w:type="spellEnd"/>
      <w:proofErr w:type="gramEnd"/>
      <w:r w:rsidR="00FB12E1" w:rsidRPr="001137FC">
        <w:rPr>
          <w:lang w:val="de-AT"/>
        </w:rPr>
        <w:t xml:space="preserve"> hält </w:t>
      </w:r>
      <w:proofErr w:type="spellStart"/>
      <w:r w:rsidR="00FB12E1" w:rsidRPr="001137FC">
        <w:rPr>
          <w:i/>
          <w:iCs/>
          <w:lang w:val="de-AT"/>
        </w:rPr>
        <w:t>Martetschläger</w:t>
      </w:r>
      <w:proofErr w:type="spellEnd"/>
      <w:r w:rsidR="00FB12E1" w:rsidRPr="001137FC">
        <w:rPr>
          <w:lang w:val="de-AT"/>
        </w:rPr>
        <w:t xml:space="preserve"> fest:</w:t>
      </w:r>
      <w:r w:rsidRPr="001137FC">
        <w:rPr>
          <w:lang w:val="de-AT"/>
        </w:rPr>
        <w:t xml:space="preserve"> </w:t>
      </w:r>
      <w:r w:rsidR="00CE34D9" w:rsidRPr="001137FC">
        <w:rPr>
          <w:lang w:val="de-AT"/>
        </w:rPr>
        <w:t xml:space="preserve">“Ist ein übergeordnetes KI mit Wertpapieren zum Handel an einem geregelten Markt zugelassen, fällt es unter die IAS-VO und muss gemäß § 59a </w:t>
      </w:r>
      <w:proofErr w:type="spellStart"/>
      <w:r w:rsidR="00CE34D9" w:rsidRPr="001137FC">
        <w:rPr>
          <w:lang w:val="de-AT"/>
        </w:rPr>
        <w:t>iVm</w:t>
      </w:r>
      <w:proofErr w:type="spellEnd"/>
      <w:r w:rsidR="00CE34D9" w:rsidRPr="001137FC">
        <w:rPr>
          <w:lang w:val="de-AT"/>
        </w:rPr>
        <w:t xml:space="preserve"> § 245a Abs 1 UGB einen IFRS-Konzernabschluss erstellen. Dieser IFRS-Konzernabschluss hat befreiende Wirkung, </w:t>
      </w:r>
      <w:proofErr w:type="spellStart"/>
      <w:r w:rsidR="00CE34D9" w:rsidRPr="001137FC">
        <w:rPr>
          <w:lang w:val="de-AT"/>
        </w:rPr>
        <w:t>dh</w:t>
      </w:r>
      <w:proofErr w:type="spellEnd"/>
      <w:r w:rsidR="00CE34D9" w:rsidRPr="001137FC">
        <w:rPr>
          <w:lang w:val="de-AT"/>
        </w:rPr>
        <w:t xml:space="preserve"> es muss nicht zusätzlich ein nationaler Konzernabschluss nach bankrechtlichen Vorschriften erstellt werden. Fällt das übergeordnete KI nicht unter die IAS-VO, kann es gemäß § 59a BWG </w:t>
      </w:r>
      <w:proofErr w:type="spellStart"/>
      <w:r w:rsidR="00CE34D9" w:rsidRPr="001137FC">
        <w:rPr>
          <w:lang w:val="de-AT"/>
        </w:rPr>
        <w:t>iVm</w:t>
      </w:r>
      <w:proofErr w:type="spellEnd"/>
      <w:r w:rsidR="00CE34D9" w:rsidRPr="001137FC">
        <w:rPr>
          <w:lang w:val="de-AT"/>
        </w:rPr>
        <w:t xml:space="preserve"> § 245a Abs 2 UGB freiwillig einen IFRS-Konzernabschluss mit befreiender Wirkung erstellen.”</w:t>
      </w:r>
      <w:r w:rsidR="00FC69C5" w:rsidRPr="001137FC">
        <w:rPr>
          <w:rStyle w:val="Funotenzeichen"/>
          <w:lang w:val="de-AT"/>
        </w:rPr>
        <w:footnoteReference w:id="21"/>
      </w:r>
      <w:r w:rsidR="00CE34D9" w:rsidRPr="001137FC">
        <w:rPr>
          <w:lang w:val="de-AT"/>
        </w:rPr>
        <w:t xml:space="preserve"> Es wird ausschließlich von der befreienden Wirkung mit Blick auf den BWG-Konzernabschluss gesprochen</w:t>
      </w:r>
      <w:r w:rsidR="004A7E86" w:rsidRPr="001137FC">
        <w:rPr>
          <w:lang w:val="de-AT"/>
        </w:rPr>
        <w:t xml:space="preserve"> – ein</w:t>
      </w:r>
      <w:r w:rsidR="00574FF8" w:rsidRPr="001137FC">
        <w:rPr>
          <w:lang w:val="de-AT"/>
        </w:rPr>
        <w:t>e Tatsache, die</w:t>
      </w:r>
      <w:r w:rsidR="004A7E86" w:rsidRPr="001137FC">
        <w:rPr>
          <w:lang w:val="de-AT"/>
        </w:rPr>
        <w:t xml:space="preserve"> die zentrale Rolle der §§ 59 und 30 BWG als Ausgangspunkt der Konzernaufstellungspflicht unterstreicht.</w:t>
      </w:r>
    </w:p>
    <w:p w14:paraId="11213776" w14:textId="32C45474" w:rsidR="00673AF6" w:rsidRPr="001137FC" w:rsidRDefault="00673AF6" w:rsidP="00FD13B6">
      <w:pPr>
        <w:pStyle w:val="berschrift3"/>
        <w:numPr>
          <w:ilvl w:val="2"/>
          <w:numId w:val="4"/>
        </w:numPr>
        <w:jc w:val="both"/>
      </w:pPr>
      <w:bookmarkStart w:id="12" w:name="X962be5f13572bc23b1c1fe6c3dfa634f54573e3"/>
      <w:bookmarkEnd w:id="11"/>
      <w:r w:rsidRPr="001137FC">
        <w:t>Anwendbarkeit der IAS-Verordnung</w:t>
      </w:r>
    </w:p>
    <w:p w14:paraId="72AD61CC" w14:textId="77913C61" w:rsidR="00673AF6" w:rsidRPr="001137FC" w:rsidRDefault="00673AF6" w:rsidP="00A745F6">
      <w:pPr>
        <w:spacing w:after="120"/>
        <w:jc w:val="both"/>
        <w:rPr>
          <w:lang w:val="de-AT"/>
        </w:rPr>
      </w:pPr>
      <w:bookmarkStart w:id="13" w:name="umfang-der-rechnungslegungsrichtlinien"/>
      <w:bookmarkStart w:id="14" w:name="X1193664858ff4a4a006c76269f22fb9c3d57a5d"/>
      <w:bookmarkEnd w:id="9"/>
      <w:bookmarkEnd w:id="12"/>
      <w:r w:rsidRPr="001137FC">
        <w:rPr>
          <w:lang w:val="de-AT"/>
        </w:rPr>
        <w:t xml:space="preserve">Der Kommentar der Europäischen Kommission zur IAS-Verordnung (Brüssel, November 2003; in der Folge „Kommissionskommentar“) hält in seinem Abschnitt 2.2.2 fest, dass die Klärung der Frage, ob eine Gesellschaft zur Erstellung eines konsolidierten Abschlusses verpflichtet ist oder nicht, durch Bezugnahme auf das einzelstaatliche Recht erfolgen wird, das infolge der </w:t>
      </w:r>
      <w:r w:rsidRPr="001137FC">
        <w:rPr>
          <w:i/>
          <w:iCs/>
          <w:lang w:val="de-AT"/>
        </w:rPr>
        <w:t xml:space="preserve">Konzernbilanzrichtlinie </w:t>
      </w:r>
      <w:r w:rsidRPr="001137FC">
        <w:rPr>
          <w:lang w:val="de-AT"/>
        </w:rPr>
        <w:t>erlassen wurde. Dies erklärt, warum in der Kommentarliteratur zu § 245a UGB weitgehend das in AFRAC 21 genannte „österreichische Recht“</w:t>
      </w:r>
      <w:r w:rsidR="00FE724D" w:rsidRPr="001137FC">
        <w:rPr>
          <w:lang w:val="de-AT"/>
        </w:rPr>
        <w:t xml:space="preserve"> (</w:t>
      </w:r>
      <w:proofErr w:type="spellStart"/>
      <w:r w:rsidR="00FE724D" w:rsidRPr="001137FC">
        <w:rPr>
          <w:lang w:val="de-AT"/>
        </w:rPr>
        <w:t>ie</w:t>
      </w:r>
      <w:proofErr w:type="spellEnd"/>
      <w:r w:rsidR="00FE724D" w:rsidRPr="001137FC">
        <w:rPr>
          <w:lang w:val="de-AT"/>
        </w:rPr>
        <w:t xml:space="preserve"> einzelstaatliches Recht)</w:t>
      </w:r>
      <w:r w:rsidRPr="001137FC">
        <w:rPr>
          <w:lang w:val="de-AT"/>
        </w:rPr>
        <w:t xml:space="preserve"> als §§ 244 ff UGB ausgelegt wird</w:t>
      </w:r>
      <w:r w:rsidR="00FC69C5" w:rsidRPr="001137FC">
        <w:rPr>
          <w:rStyle w:val="Funotenzeichen"/>
          <w:lang w:val="de-AT"/>
        </w:rPr>
        <w:footnoteReference w:id="22"/>
      </w:r>
      <w:r w:rsidRPr="001137FC">
        <w:rPr>
          <w:lang w:val="de-AT"/>
        </w:rPr>
        <w:t xml:space="preserve">. </w:t>
      </w:r>
    </w:p>
    <w:p w14:paraId="3DC4F252" w14:textId="27220482" w:rsidR="00487690" w:rsidRPr="001137FC" w:rsidRDefault="00673AF6" w:rsidP="00A745F6">
      <w:pPr>
        <w:spacing w:after="120"/>
        <w:jc w:val="both"/>
        <w:rPr>
          <w:lang w:val="de-AT"/>
        </w:rPr>
      </w:pPr>
      <w:r w:rsidRPr="001137FC">
        <w:rPr>
          <w:lang w:val="de-AT"/>
        </w:rPr>
        <w:t>Der Kommissionskommentar konkretisiert in Abschnitt 2.2.2 weiter, dass eine Gesellschaft, die infolge einer Befreiung im nationalen Recht, die aus den Rechnungslegungsrichtlinien abgeleitet wurde, nicht gehalten ist, konsolidierte Abschlüsse zu erstellen, keinen Anforderungen der IAS-Verordnung in Bezug auf diese Abschlüsse unterliegt, da es keine derartigen Abschlüsse gibt, auf die man diese Erfordernisse anwenden könnte. Die erwähnten „Rechnungslegungsrichtlinien“, die das nationale Konzernaufstellungsrecht in den Mitgliedstaaten bestimmt haben, umfassen gemäß Abschnitt 2.2.1 der Kommissionsmitteilung die Bilanzrichtlinie (78/660/EWG), die Konzernbilanzrichtlinie (83/349/EWG), die Bankbilanzrichtlinie (86/635/EWG) und die Versicherungsbilanzrichtlinie (91/674/EWG).</w:t>
      </w:r>
      <w:r w:rsidR="00CE34D9" w:rsidRPr="001137FC">
        <w:rPr>
          <w:lang w:val="de-AT"/>
        </w:rPr>
        <w:t xml:space="preserve"> Die Bankbilanzrichtlinie ist somit </w:t>
      </w:r>
      <w:r w:rsidR="00CE34D9" w:rsidRPr="001137FC">
        <w:rPr>
          <w:lang w:val="de-AT"/>
        </w:rPr>
        <w:lastRenderedPageBreak/>
        <w:t>ausdrücklich als eine der Rechnungslegungsrichtlinien genannt, die das nationale Konzernaufstellungsrecht bestimmen.</w:t>
      </w:r>
    </w:p>
    <w:p w14:paraId="02D23B87" w14:textId="382C1561" w:rsidR="00487690" w:rsidRPr="001137FC" w:rsidRDefault="00CE34D9" w:rsidP="00A745F6">
      <w:pPr>
        <w:pStyle w:val="Textkrper"/>
        <w:jc w:val="both"/>
        <w:rPr>
          <w:lang w:val="de-AT"/>
        </w:rPr>
      </w:pPr>
      <w:r w:rsidRPr="001137FC">
        <w:rPr>
          <w:lang w:val="de-AT"/>
        </w:rPr>
        <w:t>Die Bestimmungen zum konsolidierten Abschluss in der Bankbilanzrichtlinie, konkret Art 42, verweisen auf die Konzernbilanzrichtlinie (83/349/EWG) und erklären diese für anwendbar, sofern Art 42 und 43 der Bankbilanzrichtlinie nichts anderes vorsehen. Demnach stehen die Vorschriften der Konzernbilanzrichtlinie, in Österreich durch die §§ 244 ff UGB in nationales Recht umgesetzt, unter dem Vorbehalt, dass sich aus der Systematik und den Einzelregelungen der Bankbilanzrichtlinie Modifikationen und Derogationswirkungen ergeben</w:t>
      </w:r>
      <w:bookmarkStart w:id="15" w:name="zielsetzung-der-bankbilanzrichtlinie"/>
      <w:bookmarkEnd w:id="13"/>
      <w:r w:rsidR="00FC69C5" w:rsidRPr="001137FC">
        <w:rPr>
          <w:rStyle w:val="Funotenzeichen"/>
          <w:lang w:val="de-AT"/>
        </w:rPr>
        <w:footnoteReference w:id="23"/>
      </w:r>
      <w:r w:rsidR="00FC69C5" w:rsidRPr="001137FC">
        <w:rPr>
          <w:lang w:val="de-AT"/>
        </w:rPr>
        <w:t xml:space="preserve">. </w:t>
      </w:r>
      <w:r w:rsidRPr="001137FC">
        <w:rPr>
          <w:lang w:val="de-AT"/>
        </w:rPr>
        <w:t>Daraus muss geschlossen werden, dass das ausschlaggebende nationale Recht für die Beurteilung der Konzernrechnungslegungspflicht von Kreditinstituten aufgrund der Derogation des UGB durch das BWG das BWG ist.</w:t>
      </w:r>
    </w:p>
    <w:p w14:paraId="55811C05" w14:textId="27A8F11A" w:rsidR="0028466A" w:rsidRPr="001137FC" w:rsidRDefault="0028466A" w:rsidP="00A745F6">
      <w:pPr>
        <w:pStyle w:val="FirstParagraph"/>
        <w:jc w:val="both"/>
        <w:rPr>
          <w:lang w:val="de-AT"/>
        </w:rPr>
      </w:pPr>
      <w:r w:rsidRPr="001137FC">
        <w:rPr>
          <w:lang w:val="de-AT"/>
        </w:rPr>
        <w:t xml:space="preserve">Ein unreflektiertes </w:t>
      </w:r>
      <w:r w:rsidR="008427B2" w:rsidRPr="001137FC">
        <w:rPr>
          <w:lang w:val="de-AT"/>
        </w:rPr>
        <w:t>Auslegen</w:t>
      </w:r>
      <w:r w:rsidRPr="001137FC">
        <w:rPr>
          <w:lang w:val="de-AT"/>
        </w:rPr>
        <w:t xml:space="preserve"> des maßgeblichen nationalen Rechtsrahmens auf die unternehmensrechtlichen Vorschriften würde den Anwendungsbereich der Konzernrechnungslegung von Kreditinstituten im Widerspruch zu der Zielsetzung des europarechtlichen Gesetzgebers unzulässigerweise erweitern. Es ist anzunehmen, dass der europarechtliche Gesetzgeber in Anbetracht der bankgeschäftlichen Besonderheiten die Normierung derartiger Sonderbestimmungen für Kreditinstitute mit Bedacht vorgenommen hat</w:t>
      </w:r>
      <w:r w:rsidR="00FC69C5" w:rsidRPr="001137FC">
        <w:rPr>
          <w:rStyle w:val="Funotenzeichen"/>
          <w:lang w:val="de-AT"/>
        </w:rPr>
        <w:footnoteReference w:id="24"/>
      </w:r>
      <w:r w:rsidR="00FC69C5" w:rsidRPr="001137FC">
        <w:rPr>
          <w:lang w:val="de-AT"/>
        </w:rPr>
        <w:t>.</w:t>
      </w:r>
      <w:r w:rsidRPr="001137FC">
        <w:rPr>
          <w:lang w:val="de-AT"/>
        </w:rPr>
        <w:t xml:space="preserve"> </w:t>
      </w:r>
    </w:p>
    <w:p w14:paraId="5642599F" w14:textId="52052458" w:rsidR="00487690" w:rsidRPr="001137FC" w:rsidRDefault="00CE34D9" w:rsidP="00FD13B6">
      <w:pPr>
        <w:pStyle w:val="berschrift2"/>
        <w:numPr>
          <w:ilvl w:val="1"/>
          <w:numId w:val="2"/>
        </w:numPr>
        <w:jc w:val="both"/>
      </w:pPr>
      <w:bookmarkStart w:id="16" w:name="konsequenzen-für-die-praxis"/>
      <w:bookmarkEnd w:id="14"/>
      <w:bookmarkEnd w:id="15"/>
      <w:r w:rsidRPr="001137FC">
        <w:t>Konsequenzen für die Praxis</w:t>
      </w:r>
    </w:p>
    <w:p w14:paraId="071A24F4" w14:textId="5632A469" w:rsidR="00487690" w:rsidRPr="001137FC" w:rsidRDefault="00CE34D9" w:rsidP="00A745F6">
      <w:pPr>
        <w:pStyle w:val="Textkrper"/>
        <w:jc w:val="both"/>
        <w:rPr>
          <w:lang w:val="de-AT"/>
        </w:rPr>
      </w:pPr>
      <w:bookmarkStart w:id="17" w:name="abschließende-regelung-durch-das-bwg"/>
      <w:r w:rsidRPr="001137FC">
        <w:rPr>
          <w:lang w:val="de-AT"/>
        </w:rPr>
        <w:t xml:space="preserve">Die </w:t>
      </w:r>
      <w:proofErr w:type="spellStart"/>
      <w:r w:rsidRPr="001137FC">
        <w:rPr>
          <w:lang w:val="de-AT"/>
        </w:rPr>
        <w:t>bankwesenrechtlichen</w:t>
      </w:r>
      <w:proofErr w:type="spellEnd"/>
      <w:r w:rsidRPr="001137FC">
        <w:rPr>
          <w:lang w:val="de-AT"/>
        </w:rPr>
        <w:t xml:space="preserve"> Vorschriften stellen somit eine abschließende Regelung der Konzernaufstellungspflicht für Kreditinstitute dar. Eine zusätzliche Prüfung einer Konzernaufstellungspflicht nach § 244 UGB ist nicht erforderlich und würde dem Willen des Gesetzgebers widersprechen. Dies gilt unabhängig davon, ob sich nach den Kriterien des § 244 UGB ein anderer Konsolidierungskreis ergeben würde als nach den §§ 59 und 30 BWG.</w:t>
      </w:r>
      <w:r w:rsidR="0028466A" w:rsidRPr="001137FC">
        <w:rPr>
          <w:lang w:val="de-AT"/>
        </w:rPr>
        <w:t xml:space="preserve"> </w:t>
      </w:r>
      <w:proofErr w:type="gramStart"/>
      <w:r w:rsidR="0028466A" w:rsidRPr="001137FC">
        <w:rPr>
          <w:lang w:val="de-AT"/>
        </w:rPr>
        <w:t>Alleine</w:t>
      </w:r>
      <w:proofErr w:type="gramEnd"/>
      <w:r w:rsidR="0028466A" w:rsidRPr="001137FC">
        <w:rPr>
          <w:lang w:val="de-AT"/>
        </w:rPr>
        <w:t xml:space="preserve"> das übergeordnete Kreditinstitut nach § 30 Abs 5 BWG ist Normadressat für eine allfällige Konzernaufstellungspflicht nach § 30 Abs 6 BWG</w:t>
      </w:r>
      <w:r w:rsidR="00FC69C5" w:rsidRPr="001137FC">
        <w:rPr>
          <w:rStyle w:val="Funotenzeichen"/>
          <w:lang w:val="de-AT"/>
        </w:rPr>
        <w:footnoteReference w:id="25"/>
      </w:r>
      <w:r w:rsidR="0028466A" w:rsidRPr="001137FC">
        <w:rPr>
          <w:lang w:val="de-AT"/>
        </w:rPr>
        <w:t>. Das Kreditinstitut kann keinesfalls eine davon unabhängige, zusätzliche Konzernaufstellungspflicht nach § 244 UGB treffen.</w:t>
      </w:r>
    </w:p>
    <w:p w14:paraId="314730F3" w14:textId="77777777" w:rsidR="0028466A" w:rsidRPr="001137FC" w:rsidRDefault="00CE34D9" w:rsidP="00A745F6">
      <w:pPr>
        <w:pStyle w:val="FirstParagraph"/>
        <w:jc w:val="both"/>
        <w:rPr>
          <w:lang w:val="de-AT"/>
        </w:rPr>
      </w:pPr>
      <w:bookmarkStart w:id="18" w:name="Xecd5eedb8168683a3ef30fd83b260abf5c8ee3a"/>
      <w:bookmarkEnd w:id="17"/>
      <w:r w:rsidRPr="001137FC">
        <w:rPr>
          <w:lang w:val="de-AT"/>
        </w:rPr>
        <w:t>Ist ein übergeordnetes Kreditinstitut mit Wertpapieren zum Handel an einem geregelten Markt zugelassen</w:t>
      </w:r>
      <w:r w:rsidR="0028466A" w:rsidRPr="001137FC">
        <w:rPr>
          <w:lang w:val="de-AT"/>
        </w:rPr>
        <w:t xml:space="preserve"> und nach § 59 BWG konzernrechnungslegungspflichtig</w:t>
      </w:r>
      <w:r w:rsidRPr="001137FC">
        <w:rPr>
          <w:lang w:val="de-AT"/>
        </w:rPr>
        <w:t>, fällt es unter die IAS-Verordnung und muss gemäß § 59a</w:t>
      </w:r>
      <w:r w:rsidR="0028466A" w:rsidRPr="001137FC">
        <w:rPr>
          <w:lang w:val="de-AT"/>
        </w:rPr>
        <w:t xml:space="preserve"> BWG</w:t>
      </w:r>
      <w:r w:rsidRPr="001137FC">
        <w:rPr>
          <w:lang w:val="de-AT"/>
        </w:rPr>
        <w:t xml:space="preserve"> in Verbindung mit § 245a Abs 1 UGB einen IFRS-Konzernabschluss erstellen. Dieser IFRS-Konzernabschluss hat befreiende Wirkung</w:t>
      </w:r>
      <w:r w:rsidR="0028466A" w:rsidRPr="001137FC">
        <w:rPr>
          <w:lang w:val="de-AT"/>
        </w:rPr>
        <w:t xml:space="preserve"> für den </w:t>
      </w:r>
      <w:r w:rsidRPr="001137FC">
        <w:rPr>
          <w:lang w:val="de-AT"/>
        </w:rPr>
        <w:t>nationale</w:t>
      </w:r>
      <w:r w:rsidR="0028466A" w:rsidRPr="001137FC">
        <w:rPr>
          <w:lang w:val="de-AT"/>
        </w:rPr>
        <w:t>n</w:t>
      </w:r>
      <w:r w:rsidRPr="001137FC">
        <w:rPr>
          <w:lang w:val="de-AT"/>
        </w:rPr>
        <w:t xml:space="preserve"> Konzernabschluss nach bankrechtlichen Vorschriften</w:t>
      </w:r>
      <w:r w:rsidR="0028466A" w:rsidRPr="001137FC">
        <w:rPr>
          <w:lang w:val="de-AT"/>
        </w:rPr>
        <w:t>.</w:t>
      </w:r>
    </w:p>
    <w:p w14:paraId="090E787D" w14:textId="512995A3" w:rsidR="00487690" w:rsidRPr="001137FC" w:rsidRDefault="00CE34D9" w:rsidP="00A745F6">
      <w:pPr>
        <w:pStyle w:val="Textkrper"/>
        <w:jc w:val="both"/>
        <w:rPr>
          <w:lang w:val="de-AT"/>
        </w:rPr>
      </w:pPr>
      <w:r w:rsidRPr="001137FC">
        <w:rPr>
          <w:lang w:val="de-AT"/>
        </w:rPr>
        <w:t xml:space="preserve">Fällt </w:t>
      </w:r>
      <w:r w:rsidR="004D7D8D" w:rsidRPr="001137FC">
        <w:rPr>
          <w:lang w:val="de-AT"/>
        </w:rPr>
        <w:t>ein übergeordnetes Kreditinstitut</w:t>
      </w:r>
      <w:r w:rsidRPr="001137FC">
        <w:rPr>
          <w:lang w:val="de-AT"/>
        </w:rPr>
        <w:t xml:space="preserve"> </w:t>
      </w:r>
      <w:r w:rsidR="004D7D8D" w:rsidRPr="001137FC">
        <w:rPr>
          <w:lang w:val="de-AT"/>
        </w:rPr>
        <w:t xml:space="preserve">mangels Kapitalmarktorientierung </w:t>
      </w:r>
      <w:r w:rsidRPr="001137FC">
        <w:rPr>
          <w:lang w:val="de-AT"/>
        </w:rPr>
        <w:t xml:space="preserve">nicht unter die IAS-Verordnung, kann es gemäß § 59a BWG in Verbindung mit § 245a Abs 2 UGB freiwillig einen IFRS-Konzernabschluss mit befreiender Wirkung erstellen. Auch in diesem Fall entfällt </w:t>
      </w:r>
      <w:r w:rsidRPr="001137FC">
        <w:rPr>
          <w:lang w:val="de-AT"/>
        </w:rPr>
        <w:lastRenderedPageBreak/>
        <w:t xml:space="preserve">die Pflicht zur Erstellung eines nationalen Konzernabschlusses nach bankrechtlichen Vorschriften. </w:t>
      </w:r>
    </w:p>
    <w:p w14:paraId="467E3A08" w14:textId="1B4544FF" w:rsidR="008D4A45" w:rsidRPr="001137FC" w:rsidRDefault="00C82186" w:rsidP="00A745F6">
      <w:pPr>
        <w:pStyle w:val="FirstParagraph"/>
        <w:jc w:val="both"/>
        <w:rPr>
          <w:lang w:val="de-AT"/>
        </w:rPr>
      </w:pPr>
      <w:r w:rsidRPr="001137FC">
        <w:rPr>
          <w:lang w:val="de-AT"/>
        </w:rPr>
        <w:t xml:space="preserve">Ist ein übergeordnetes Kreditinstitut mit Wertpapieren zum Handel an einem geregelten Markt zugelassen und nach § 59 BWG </w:t>
      </w:r>
      <w:r w:rsidR="008D4A45" w:rsidRPr="001137FC">
        <w:rPr>
          <w:lang w:val="de-AT"/>
        </w:rPr>
        <w:t xml:space="preserve">nicht </w:t>
      </w:r>
      <w:r w:rsidRPr="001137FC">
        <w:rPr>
          <w:lang w:val="de-AT"/>
        </w:rPr>
        <w:t>konzernrechnungslegungspflichtig</w:t>
      </w:r>
      <w:r w:rsidR="008D4A45" w:rsidRPr="001137FC">
        <w:rPr>
          <w:lang w:val="de-AT"/>
        </w:rPr>
        <w:t xml:space="preserve"> (weil etwa die nachgeordneten Institute einzeln und zusammen betrachtet unwesentlich </w:t>
      </w:r>
      <w:proofErr w:type="spellStart"/>
      <w:r w:rsidR="008D4A45" w:rsidRPr="001137FC">
        <w:rPr>
          <w:lang w:val="de-AT"/>
        </w:rPr>
        <w:t>iSd</w:t>
      </w:r>
      <w:proofErr w:type="spellEnd"/>
      <w:r w:rsidR="008D4A45" w:rsidRPr="001137FC">
        <w:rPr>
          <w:lang w:val="de-AT"/>
        </w:rPr>
        <w:t xml:space="preserve"> § 59 Abs 3 BWG sind), so führt auch die Kapitalmarktorientierung des Kreditinstituts</w:t>
      </w:r>
      <w:r w:rsidR="004D7D8D" w:rsidRPr="001137FC">
        <w:rPr>
          <w:lang w:val="de-AT"/>
        </w:rPr>
        <w:t xml:space="preserve"> nicht zur Anwendung der IAS-Verordnung. Voraussetzung für die Anwendung der IAS-Verordnung (und damit der IFRS-Konzernrechnungslegungspflicht) ist neben der Kapitalmarktorientierung </w:t>
      </w:r>
      <w:r w:rsidR="008D4A45" w:rsidRPr="001137FC">
        <w:rPr>
          <w:lang w:val="de-AT"/>
        </w:rPr>
        <w:t>die nationalrechtliche Konzernaufstellungspflicht nach § 59 und 30 BWG.</w:t>
      </w:r>
      <w:r w:rsidR="00CA1E12">
        <w:rPr>
          <w:lang w:val="de-AT"/>
        </w:rPr>
        <w:t xml:space="preserve"> </w:t>
      </w:r>
    </w:p>
    <w:p w14:paraId="17926514" w14:textId="342350B0" w:rsidR="00487690" w:rsidRPr="001137FC" w:rsidRDefault="00B75632" w:rsidP="00FD13B6">
      <w:pPr>
        <w:pStyle w:val="berschrift2"/>
        <w:numPr>
          <w:ilvl w:val="1"/>
          <w:numId w:val="2"/>
        </w:numPr>
        <w:jc w:val="both"/>
      </w:pPr>
      <w:bookmarkStart w:id="19" w:name="zusammenfassung-und-ausblick"/>
      <w:bookmarkEnd w:id="16"/>
      <w:bookmarkEnd w:id="18"/>
      <w:r w:rsidRPr="001137FC">
        <w:t>Fazit</w:t>
      </w:r>
    </w:p>
    <w:p w14:paraId="032CF190" w14:textId="39F7B0AF" w:rsidR="00B75632" w:rsidRPr="001137FC" w:rsidRDefault="00B75632" w:rsidP="00A745F6">
      <w:pPr>
        <w:spacing w:after="120"/>
        <w:jc w:val="both"/>
        <w:rPr>
          <w:lang w:val="de-AT"/>
        </w:rPr>
      </w:pPr>
      <w:r w:rsidRPr="001137FC">
        <w:rPr>
          <w:lang w:val="de-AT"/>
        </w:rPr>
        <w:t xml:space="preserve">Die vorangegangene Untersuchung ergibt ein klares Bild: Die </w:t>
      </w:r>
      <w:r w:rsidR="007102DC" w:rsidRPr="001137FC">
        <w:rPr>
          <w:lang w:val="de-AT"/>
        </w:rPr>
        <w:t xml:space="preserve">nationale </w:t>
      </w:r>
      <w:r w:rsidRPr="001137FC">
        <w:rPr>
          <w:lang w:val="de-AT"/>
        </w:rPr>
        <w:t xml:space="preserve">Konzernaufstellungspflicht von Kreditinstituten wird in Österreich ausschließlich </w:t>
      </w:r>
      <w:r w:rsidR="00A745F6">
        <w:rPr>
          <w:lang w:val="de-AT"/>
        </w:rPr>
        <w:t xml:space="preserve">und abschließend </w:t>
      </w:r>
      <w:r w:rsidRPr="001137FC">
        <w:rPr>
          <w:lang w:val="de-AT"/>
        </w:rPr>
        <w:t xml:space="preserve">durch § 59 BWG </w:t>
      </w:r>
      <w:proofErr w:type="spellStart"/>
      <w:r w:rsidRPr="001137FC">
        <w:rPr>
          <w:lang w:val="de-AT"/>
        </w:rPr>
        <w:t>iVm</w:t>
      </w:r>
      <w:proofErr w:type="spellEnd"/>
      <w:r w:rsidRPr="001137FC">
        <w:rPr>
          <w:lang w:val="de-AT"/>
        </w:rPr>
        <w:t xml:space="preserve"> § 30 BWG bestimmt. Diese </w:t>
      </w:r>
      <w:proofErr w:type="spellStart"/>
      <w:r w:rsidRPr="001137FC">
        <w:rPr>
          <w:lang w:val="de-AT"/>
        </w:rPr>
        <w:t>bankwesenrechtlichen</w:t>
      </w:r>
      <w:proofErr w:type="spellEnd"/>
      <w:r w:rsidRPr="001137FC">
        <w:rPr>
          <w:lang w:val="de-AT"/>
        </w:rPr>
        <w:t xml:space="preserve"> Sonderbestimmungen derogieren § 244 UGB und stellen den allein maßgeblichen Rechtsrahmen für die Beurteilung der Konzernrechnungslegungspflicht dar. Eine subsidiäre </w:t>
      </w:r>
      <w:r w:rsidR="007102DC" w:rsidRPr="001137FC">
        <w:rPr>
          <w:lang w:val="de-AT"/>
        </w:rPr>
        <w:t xml:space="preserve">oder parallele </w:t>
      </w:r>
      <w:r w:rsidRPr="001137FC">
        <w:rPr>
          <w:lang w:val="de-AT"/>
        </w:rPr>
        <w:t>Konzernaufstellungspflicht nach § 244 UGB für Kreditinstitute kann nicht entstehen.</w:t>
      </w:r>
    </w:p>
    <w:p w14:paraId="0587DBC8" w14:textId="2301A791" w:rsidR="00B75632" w:rsidRPr="00B75632" w:rsidRDefault="00B75632" w:rsidP="00A745F6">
      <w:pPr>
        <w:spacing w:after="120"/>
        <w:jc w:val="both"/>
        <w:rPr>
          <w:lang w:val="de-AT"/>
        </w:rPr>
      </w:pPr>
      <w:r w:rsidRPr="001137FC">
        <w:rPr>
          <w:lang w:val="de-AT"/>
        </w:rPr>
        <w:t xml:space="preserve">Die Auffassung, wonach mit dem Verweis in § 43 Abs 1 BWG auf das dritte Buch des UGB eine Verpflichtung zur Erstellung zweier voneinander unabhängiger Konzernabschlüsse verbunden sein könnte, findet weder in den europarechtlichen Vorgaben noch in der historischen Gesetzgebungsabsicht noch in der </w:t>
      </w:r>
      <w:r w:rsidR="007102DC" w:rsidRPr="001137FC">
        <w:rPr>
          <w:lang w:val="de-AT"/>
        </w:rPr>
        <w:t>Literatur</w:t>
      </w:r>
      <w:r w:rsidRPr="001137FC">
        <w:rPr>
          <w:lang w:val="de-AT"/>
        </w:rPr>
        <w:t xml:space="preserve"> eine Stütze. Sie widerspricht zudem der jahrelangen Praxis materieller österreichischer Kreditinstitute und Kreditinstitutsgruppen. Die bankenspezifischen Regelungen der BB-RL und deren Umsetzung im BWG bilden ein in sich geschlossenes, das allgemeine Bilanzrecht in bestimmten Bereichen abschließend verdrängendes </w:t>
      </w:r>
      <w:proofErr w:type="spellStart"/>
      <w:r w:rsidRPr="001137FC">
        <w:rPr>
          <w:lang w:val="de-AT"/>
        </w:rPr>
        <w:t>Normwerk</w:t>
      </w:r>
      <w:proofErr w:type="spellEnd"/>
      <w:r w:rsidRPr="001137FC">
        <w:rPr>
          <w:lang w:val="de-AT"/>
        </w:rPr>
        <w:t xml:space="preserve">. Dieses Ergebnis wird durch die Systematik des § 43 Abs 1 BWG, durch § 189 Abs 3 UGB sowie durch die einschlägige Literatur – </w:t>
      </w:r>
      <w:proofErr w:type="gramStart"/>
      <w:r w:rsidRPr="001137FC">
        <w:rPr>
          <w:lang w:val="de-AT"/>
        </w:rPr>
        <w:t>soweit</w:t>
      </w:r>
      <w:proofErr w:type="gramEnd"/>
      <w:r w:rsidRPr="001137FC">
        <w:rPr>
          <w:lang w:val="de-AT"/>
        </w:rPr>
        <w:t xml:space="preserve"> überblickbar einhellig – bestätigt.</w:t>
      </w:r>
      <w:bookmarkEnd w:id="0"/>
      <w:bookmarkEnd w:id="19"/>
    </w:p>
    <w:sectPr w:rsidR="00B75632" w:rsidRPr="00B75632">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F677F" w14:textId="77777777" w:rsidR="00CE34D9" w:rsidRDefault="00CE34D9">
      <w:pPr>
        <w:spacing w:after="0"/>
      </w:pPr>
      <w:r>
        <w:separator/>
      </w:r>
    </w:p>
  </w:endnote>
  <w:endnote w:type="continuationSeparator" w:id="0">
    <w:p w14:paraId="1B1298DB" w14:textId="77777777" w:rsidR="00CE34D9" w:rsidRDefault="00CE34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C21BC" w14:textId="77777777" w:rsidR="00487690" w:rsidRDefault="00CE34D9">
      <w:r>
        <w:separator/>
      </w:r>
    </w:p>
  </w:footnote>
  <w:footnote w:type="continuationSeparator" w:id="0">
    <w:p w14:paraId="0C24BDD9" w14:textId="77777777" w:rsidR="00487690" w:rsidRDefault="00CE34D9">
      <w:r>
        <w:continuationSeparator/>
      </w:r>
    </w:p>
  </w:footnote>
  <w:footnote w:id="1">
    <w:p w14:paraId="1F75C4F7" w14:textId="561AC1E6" w:rsidR="008A1849" w:rsidRPr="008A1849" w:rsidRDefault="008A1849">
      <w:pPr>
        <w:pStyle w:val="Funotentext"/>
        <w:rPr>
          <w:lang w:val="de-AT"/>
        </w:rPr>
      </w:pPr>
      <w:r>
        <w:rPr>
          <w:rStyle w:val="Funotenzeichen"/>
        </w:rPr>
        <w:footnoteRef/>
      </w:r>
      <w:r w:rsidRPr="008A1849">
        <w:rPr>
          <w:lang w:val="de-AT"/>
        </w:rPr>
        <w:t xml:space="preserve"> </w:t>
      </w:r>
      <w:proofErr w:type="spellStart"/>
      <w:r w:rsidRPr="00AF39BA">
        <w:rPr>
          <w:sz w:val="20"/>
          <w:szCs w:val="20"/>
          <w:lang w:val="de-AT"/>
        </w:rPr>
        <w:t>Vgl</w:t>
      </w:r>
      <w:proofErr w:type="spellEnd"/>
      <w:r w:rsidRPr="00AF39BA">
        <w:rPr>
          <w:sz w:val="20"/>
          <w:szCs w:val="20"/>
          <w:lang w:val="de-AT"/>
        </w:rPr>
        <w:t xml:space="preserve"> </w:t>
      </w:r>
      <w:r w:rsidRPr="00AF39BA">
        <w:rPr>
          <w:i/>
          <w:iCs/>
          <w:sz w:val="20"/>
          <w:szCs w:val="20"/>
          <w:lang w:val="de-AT"/>
        </w:rPr>
        <w:t>Göth</w:t>
      </w:r>
      <w:r w:rsidRPr="00AF39BA">
        <w:rPr>
          <w:sz w:val="20"/>
          <w:szCs w:val="20"/>
          <w:lang w:val="de-AT"/>
        </w:rPr>
        <w:t>, Bilanzrecht der Kreditinstitute I, S. 125 f.</w:t>
      </w:r>
    </w:p>
  </w:footnote>
  <w:footnote w:id="2">
    <w:p w14:paraId="5F1564BA" w14:textId="20C908B1" w:rsidR="008A1849" w:rsidRPr="008A1849" w:rsidRDefault="008A1849">
      <w:pPr>
        <w:pStyle w:val="Funotentext"/>
        <w:rPr>
          <w:lang w:val="de-AT"/>
        </w:rPr>
      </w:pPr>
      <w:r>
        <w:rPr>
          <w:rStyle w:val="Funotenzeichen"/>
        </w:rPr>
        <w:footnoteRef/>
      </w:r>
      <w:r w:rsidRPr="008A1849">
        <w:rPr>
          <w:lang w:val="de-AT"/>
        </w:rPr>
        <w:t xml:space="preserve"> </w:t>
      </w:r>
      <w:proofErr w:type="spellStart"/>
      <w:r w:rsidR="00AF39BA" w:rsidRPr="00AF39BA">
        <w:rPr>
          <w:sz w:val="20"/>
          <w:szCs w:val="20"/>
          <w:lang w:val="de-AT"/>
        </w:rPr>
        <w:t>Vgl</w:t>
      </w:r>
      <w:proofErr w:type="spellEnd"/>
      <w:r w:rsidR="00AF39BA" w:rsidRPr="00AF39BA">
        <w:rPr>
          <w:sz w:val="20"/>
          <w:szCs w:val="20"/>
          <w:lang w:val="de-AT"/>
        </w:rPr>
        <w:t xml:space="preserve"> </w:t>
      </w:r>
      <w:proofErr w:type="spellStart"/>
      <w:r w:rsidRPr="0056355E">
        <w:rPr>
          <w:sz w:val="20"/>
          <w:szCs w:val="20"/>
          <w:lang w:val="de-AT"/>
        </w:rPr>
        <w:t>ErlRV</w:t>
      </w:r>
      <w:proofErr w:type="spellEnd"/>
      <w:r w:rsidRPr="0056355E">
        <w:rPr>
          <w:sz w:val="20"/>
          <w:szCs w:val="20"/>
          <w:lang w:val="de-AT"/>
        </w:rPr>
        <w:t xml:space="preserve"> 94 XX. GP vom 21. 5. 1996 zu § 59 Abs 1 BWG</w:t>
      </w:r>
      <w:r w:rsidR="00AF39BA">
        <w:rPr>
          <w:sz w:val="20"/>
          <w:szCs w:val="20"/>
          <w:lang w:val="de-AT"/>
        </w:rPr>
        <w:t>.</w:t>
      </w:r>
    </w:p>
  </w:footnote>
  <w:footnote w:id="3">
    <w:p w14:paraId="583B97C9" w14:textId="4744789E" w:rsidR="008A1849" w:rsidRPr="00AF39BA" w:rsidRDefault="008A1849">
      <w:pPr>
        <w:pStyle w:val="Funotentext"/>
        <w:rPr>
          <w:sz w:val="20"/>
          <w:szCs w:val="20"/>
          <w:lang w:val="de-AT"/>
        </w:rPr>
      </w:pPr>
      <w:r w:rsidRPr="00AF39BA">
        <w:rPr>
          <w:rStyle w:val="Funotenzeichen"/>
        </w:rPr>
        <w:footnoteRef/>
      </w:r>
      <w:r w:rsidRPr="00AF39BA">
        <w:rPr>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i/>
          <w:iCs/>
          <w:sz w:val="20"/>
          <w:szCs w:val="20"/>
          <w:lang w:val="de-AT"/>
        </w:rPr>
        <w:t>Göth</w:t>
      </w:r>
      <w:r w:rsidRPr="00AF39BA">
        <w:rPr>
          <w:sz w:val="20"/>
          <w:szCs w:val="20"/>
          <w:lang w:val="de-AT"/>
        </w:rPr>
        <w:t>, Bilanzrecht der Kreditinstitute I, S 135</w:t>
      </w:r>
      <w:r w:rsidR="00AF39BA">
        <w:rPr>
          <w:sz w:val="20"/>
          <w:szCs w:val="20"/>
          <w:lang w:val="de-AT"/>
        </w:rPr>
        <w:t>.</w:t>
      </w:r>
    </w:p>
  </w:footnote>
  <w:footnote w:id="4">
    <w:p w14:paraId="1937687C" w14:textId="5B5AF013" w:rsidR="008A1849" w:rsidRPr="00AF39BA" w:rsidRDefault="008A1849">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sz w:val="20"/>
          <w:szCs w:val="20"/>
          <w:lang w:val="de-AT"/>
        </w:rPr>
        <w:t xml:space="preserve">1058 </w:t>
      </w:r>
      <w:proofErr w:type="spellStart"/>
      <w:r w:rsidRPr="00AF39BA">
        <w:rPr>
          <w:sz w:val="20"/>
          <w:szCs w:val="20"/>
          <w:lang w:val="de-AT"/>
        </w:rPr>
        <w:t>BlgNR</w:t>
      </w:r>
      <w:proofErr w:type="spellEnd"/>
      <w:r w:rsidRPr="00AF39BA">
        <w:rPr>
          <w:sz w:val="20"/>
          <w:szCs w:val="20"/>
          <w:lang w:val="de-AT"/>
        </w:rPr>
        <w:t xml:space="preserve"> 22. GP, 50 zu § 189 UGB</w:t>
      </w:r>
      <w:r w:rsidR="00AF39BA">
        <w:rPr>
          <w:sz w:val="20"/>
          <w:szCs w:val="20"/>
          <w:lang w:val="de-AT"/>
        </w:rPr>
        <w:t>.</w:t>
      </w:r>
    </w:p>
  </w:footnote>
  <w:footnote w:id="5">
    <w:p w14:paraId="6E61C295" w14:textId="63B5A653" w:rsidR="008A1849" w:rsidRPr="00AF39BA" w:rsidRDefault="008A1849">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i/>
          <w:iCs/>
          <w:sz w:val="20"/>
          <w:szCs w:val="20"/>
          <w:lang w:val="de-AT"/>
        </w:rPr>
        <w:t>Gelter</w:t>
      </w:r>
      <w:r w:rsidRPr="00AF39BA">
        <w:rPr>
          <w:sz w:val="20"/>
          <w:szCs w:val="20"/>
          <w:lang w:val="de-AT"/>
        </w:rPr>
        <w:t xml:space="preserve"> in </w:t>
      </w:r>
      <w:r w:rsidRPr="00AF39BA">
        <w:rPr>
          <w:i/>
          <w:iCs/>
          <w:sz w:val="20"/>
          <w:szCs w:val="20"/>
          <w:lang w:val="de-AT"/>
        </w:rPr>
        <w:t>Straube/Ratka/Rauter</w:t>
      </w:r>
      <w:r w:rsidRPr="00AF39BA">
        <w:rPr>
          <w:sz w:val="20"/>
          <w:szCs w:val="20"/>
          <w:lang w:val="de-AT"/>
        </w:rPr>
        <w:t>, UGB II/RLG</w:t>
      </w:r>
      <w:r w:rsidRPr="00AF39BA">
        <w:rPr>
          <w:sz w:val="20"/>
          <w:szCs w:val="20"/>
          <w:vertAlign w:val="superscript"/>
          <w:lang w:val="de-AT"/>
        </w:rPr>
        <w:t>3</w:t>
      </w:r>
      <w:r w:rsidRPr="00AF39BA">
        <w:rPr>
          <w:sz w:val="20"/>
          <w:szCs w:val="20"/>
          <w:lang w:val="de-AT"/>
        </w:rPr>
        <w:t xml:space="preserve"> vor § 189 </w:t>
      </w:r>
      <w:proofErr w:type="spellStart"/>
      <w:r w:rsidRPr="00AF39BA">
        <w:rPr>
          <w:sz w:val="20"/>
          <w:szCs w:val="20"/>
          <w:lang w:val="de-AT"/>
        </w:rPr>
        <w:t>Rz</w:t>
      </w:r>
      <w:proofErr w:type="spellEnd"/>
      <w:r w:rsidRPr="00AF39BA">
        <w:rPr>
          <w:sz w:val="20"/>
          <w:szCs w:val="20"/>
          <w:lang w:val="de-AT"/>
        </w:rPr>
        <w:t xml:space="preserve"> 27; </w:t>
      </w:r>
      <w:r w:rsidRPr="00AF39BA">
        <w:rPr>
          <w:i/>
          <w:iCs/>
          <w:sz w:val="20"/>
          <w:szCs w:val="20"/>
          <w:lang w:val="de-AT"/>
        </w:rPr>
        <w:t>Kammel</w:t>
      </w:r>
      <w:r w:rsidRPr="00AF39BA">
        <w:rPr>
          <w:sz w:val="20"/>
          <w:szCs w:val="20"/>
          <w:lang w:val="de-AT"/>
        </w:rPr>
        <w:t xml:space="preserve"> in </w:t>
      </w:r>
      <w:r w:rsidRPr="00AF39BA">
        <w:rPr>
          <w:i/>
          <w:iCs/>
          <w:sz w:val="20"/>
          <w:szCs w:val="20"/>
          <w:lang w:val="de-AT"/>
        </w:rPr>
        <w:t>Laurer/Schütz/Kammel/Ratka</w:t>
      </w:r>
      <w:r w:rsidRPr="00AF39BA">
        <w:rPr>
          <w:sz w:val="20"/>
          <w:szCs w:val="20"/>
          <w:lang w:val="de-AT"/>
        </w:rPr>
        <w:t>, BWG</w:t>
      </w:r>
      <w:r w:rsidRPr="00AF39BA">
        <w:rPr>
          <w:sz w:val="20"/>
          <w:szCs w:val="20"/>
          <w:vertAlign w:val="superscript"/>
          <w:lang w:val="de-AT"/>
        </w:rPr>
        <w:t>4</w:t>
      </w:r>
      <w:r w:rsidRPr="00AF39BA">
        <w:rPr>
          <w:sz w:val="20"/>
          <w:szCs w:val="20"/>
          <w:lang w:val="de-AT"/>
        </w:rPr>
        <w:t xml:space="preserve">, § 30 </w:t>
      </w:r>
      <w:proofErr w:type="spellStart"/>
      <w:r w:rsidRPr="00AF39BA">
        <w:rPr>
          <w:sz w:val="20"/>
          <w:szCs w:val="20"/>
          <w:lang w:val="de-AT"/>
        </w:rPr>
        <w:t>Rz</w:t>
      </w:r>
      <w:proofErr w:type="spellEnd"/>
      <w:r w:rsidRPr="00AF39BA">
        <w:rPr>
          <w:sz w:val="20"/>
          <w:szCs w:val="20"/>
          <w:lang w:val="de-AT"/>
        </w:rPr>
        <w:t xml:space="preserve"> 2; </w:t>
      </w:r>
      <w:proofErr w:type="spellStart"/>
      <w:r w:rsidRPr="00AF39BA">
        <w:rPr>
          <w:i/>
          <w:iCs/>
          <w:sz w:val="20"/>
          <w:szCs w:val="20"/>
          <w:lang w:val="de-AT"/>
        </w:rPr>
        <w:t>Martetschläger</w:t>
      </w:r>
      <w:proofErr w:type="spellEnd"/>
      <w:r w:rsidRPr="00AF39BA">
        <w:rPr>
          <w:i/>
          <w:iCs/>
          <w:sz w:val="20"/>
          <w:szCs w:val="20"/>
          <w:lang w:val="de-AT"/>
        </w:rPr>
        <w:t xml:space="preserve"> </w:t>
      </w:r>
      <w:r w:rsidRPr="00AF39BA">
        <w:rPr>
          <w:sz w:val="20"/>
          <w:szCs w:val="20"/>
          <w:lang w:val="de-AT"/>
        </w:rPr>
        <w:t xml:space="preserve">in </w:t>
      </w:r>
      <w:r w:rsidRPr="00AF39BA">
        <w:rPr>
          <w:i/>
          <w:iCs/>
          <w:sz w:val="20"/>
          <w:szCs w:val="20"/>
          <w:lang w:val="de-AT"/>
        </w:rPr>
        <w:t>Dellinger</w:t>
      </w:r>
      <w:r w:rsidRPr="00AF39BA">
        <w:rPr>
          <w:sz w:val="20"/>
          <w:szCs w:val="20"/>
          <w:lang w:val="de-AT"/>
        </w:rPr>
        <w:t>, BWG</w:t>
      </w:r>
      <w:r w:rsidRPr="00AF39BA">
        <w:rPr>
          <w:sz w:val="20"/>
          <w:szCs w:val="20"/>
          <w:vertAlign w:val="superscript"/>
          <w:lang w:val="de-AT"/>
        </w:rPr>
        <w:t>8</w:t>
      </w:r>
      <w:r w:rsidRPr="00AF39BA">
        <w:rPr>
          <w:sz w:val="20"/>
          <w:szCs w:val="20"/>
          <w:lang w:val="de-AT"/>
        </w:rPr>
        <w:t xml:space="preserve">, § 59 </w:t>
      </w:r>
      <w:proofErr w:type="spellStart"/>
      <w:r w:rsidRPr="00AF39BA">
        <w:rPr>
          <w:sz w:val="20"/>
          <w:szCs w:val="20"/>
          <w:lang w:val="de-AT"/>
        </w:rPr>
        <w:t>Rz</w:t>
      </w:r>
      <w:proofErr w:type="spellEnd"/>
      <w:r w:rsidRPr="00AF39BA">
        <w:rPr>
          <w:sz w:val="20"/>
          <w:szCs w:val="20"/>
          <w:lang w:val="de-AT"/>
        </w:rPr>
        <w:t xml:space="preserve"> 4)</w:t>
      </w:r>
    </w:p>
  </w:footnote>
  <w:footnote w:id="6">
    <w:p w14:paraId="5B536F53" w14:textId="73BA470D" w:rsidR="008A1849" w:rsidRPr="00AF39BA" w:rsidRDefault="008A1849">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proofErr w:type="spellStart"/>
      <w:r w:rsidRPr="00AF39BA">
        <w:rPr>
          <w:i/>
          <w:iCs/>
          <w:sz w:val="20"/>
          <w:szCs w:val="20"/>
          <w:lang w:val="de-AT"/>
        </w:rPr>
        <w:t>Stückler</w:t>
      </w:r>
      <w:proofErr w:type="spellEnd"/>
      <w:r w:rsidRPr="00AF39BA">
        <w:rPr>
          <w:sz w:val="20"/>
          <w:szCs w:val="20"/>
          <w:lang w:val="de-AT"/>
        </w:rPr>
        <w:t xml:space="preserve"> in </w:t>
      </w:r>
      <w:proofErr w:type="spellStart"/>
      <w:r w:rsidRPr="00AF39BA">
        <w:rPr>
          <w:i/>
          <w:iCs/>
          <w:sz w:val="20"/>
          <w:szCs w:val="20"/>
          <w:lang w:val="de-AT"/>
        </w:rPr>
        <w:t>Zib</w:t>
      </w:r>
      <w:proofErr w:type="spellEnd"/>
      <w:r w:rsidRPr="00AF39BA">
        <w:rPr>
          <w:i/>
          <w:iCs/>
          <w:sz w:val="20"/>
          <w:szCs w:val="20"/>
          <w:lang w:val="de-AT"/>
        </w:rPr>
        <w:t>/Dellinger,</w:t>
      </w:r>
      <w:r w:rsidRPr="00AF39BA">
        <w:rPr>
          <w:sz w:val="20"/>
          <w:szCs w:val="20"/>
          <w:lang w:val="de-AT"/>
        </w:rPr>
        <w:t xml:space="preserve"> § 244 UGB </w:t>
      </w:r>
      <w:proofErr w:type="spellStart"/>
      <w:r w:rsidRPr="00AF39BA">
        <w:rPr>
          <w:sz w:val="20"/>
          <w:szCs w:val="20"/>
          <w:lang w:val="de-AT"/>
        </w:rPr>
        <w:t>Rz</w:t>
      </w:r>
      <w:proofErr w:type="spellEnd"/>
      <w:r w:rsidRPr="00AF39BA">
        <w:rPr>
          <w:sz w:val="20"/>
          <w:szCs w:val="20"/>
          <w:lang w:val="de-AT"/>
        </w:rPr>
        <w:t xml:space="preserve"> 56.</w:t>
      </w:r>
    </w:p>
  </w:footnote>
  <w:footnote w:id="7">
    <w:p w14:paraId="1CDBD7D1" w14:textId="3E1A9129" w:rsidR="008A1849" w:rsidRPr="00AF39BA" w:rsidRDefault="008A1849">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i/>
          <w:iCs/>
          <w:sz w:val="20"/>
          <w:szCs w:val="20"/>
          <w:lang w:val="de-AT"/>
        </w:rPr>
        <w:t>Linc</w:t>
      </w:r>
      <w:r w:rsidRPr="00AF39BA">
        <w:rPr>
          <w:sz w:val="20"/>
          <w:szCs w:val="20"/>
          <w:lang w:val="de-AT"/>
        </w:rPr>
        <w:t xml:space="preserve"> in </w:t>
      </w:r>
      <w:proofErr w:type="spellStart"/>
      <w:r w:rsidRPr="00AF39BA">
        <w:rPr>
          <w:i/>
          <w:iCs/>
          <w:sz w:val="20"/>
          <w:szCs w:val="20"/>
          <w:lang w:val="de-AT"/>
        </w:rPr>
        <w:t>Fremuth</w:t>
      </w:r>
      <w:proofErr w:type="spellEnd"/>
      <w:r w:rsidRPr="00AF39BA">
        <w:rPr>
          <w:i/>
          <w:iCs/>
          <w:sz w:val="20"/>
          <w:szCs w:val="20"/>
          <w:lang w:val="de-AT"/>
        </w:rPr>
        <w:t>/Laurer/Linc/</w:t>
      </w:r>
      <w:proofErr w:type="spellStart"/>
      <w:r w:rsidRPr="00AF39BA">
        <w:rPr>
          <w:i/>
          <w:iCs/>
          <w:sz w:val="20"/>
          <w:szCs w:val="20"/>
          <w:lang w:val="de-AT"/>
        </w:rPr>
        <w:t>Pötzelsberger</w:t>
      </w:r>
      <w:proofErr w:type="spellEnd"/>
      <w:r w:rsidRPr="00AF39BA">
        <w:rPr>
          <w:i/>
          <w:iCs/>
          <w:sz w:val="20"/>
          <w:szCs w:val="20"/>
          <w:lang w:val="de-AT"/>
        </w:rPr>
        <w:t>/Strobl</w:t>
      </w:r>
      <w:r w:rsidRPr="00AF39BA">
        <w:rPr>
          <w:sz w:val="20"/>
          <w:szCs w:val="20"/>
          <w:lang w:val="de-AT"/>
        </w:rPr>
        <w:t xml:space="preserve">, BWG², § 59 </w:t>
      </w:r>
      <w:proofErr w:type="spellStart"/>
      <w:r w:rsidRPr="00AF39BA">
        <w:rPr>
          <w:sz w:val="20"/>
          <w:szCs w:val="20"/>
          <w:lang w:val="de-AT"/>
        </w:rPr>
        <w:t>Rz</w:t>
      </w:r>
      <w:proofErr w:type="spellEnd"/>
      <w:r w:rsidRPr="00AF39BA">
        <w:rPr>
          <w:sz w:val="20"/>
          <w:szCs w:val="20"/>
          <w:lang w:val="de-AT"/>
        </w:rPr>
        <w:t xml:space="preserve"> 1</w:t>
      </w:r>
      <w:r w:rsidR="00AF39BA">
        <w:rPr>
          <w:sz w:val="20"/>
          <w:szCs w:val="20"/>
          <w:lang w:val="de-AT"/>
        </w:rPr>
        <w:t>.</w:t>
      </w:r>
    </w:p>
  </w:footnote>
  <w:footnote w:id="8">
    <w:p w14:paraId="071C1933" w14:textId="69BB45C6" w:rsidR="008A1849" w:rsidRPr="00AF39BA" w:rsidRDefault="008A1849" w:rsidP="00AF39BA">
      <w:pPr>
        <w:spacing w:after="120"/>
        <w:jc w:val="both"/>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i/>
          <w:iCs/>
          <w:sz w:val="20"/>
          <w:szCs w:val="20"/>
          <w:lang w:val="de-AT"/>
        </w:rPr>
        <w:t>Fröhlich/Haberer</w:t>
      </w:r>
      <w:r w:rsidRPr="00AF39BA">
        <w:rPr>
          <w:sz w:val="20"/>
          <w:szCs w:val="20"/>
          <w:lang w:val="de-AT"/>
        </w:rPr>
        <w:t xml:space="preserve"> in </w:t>
      </w:r>
      <w:proofErr w:type="spellStart"/>
      <w:r w:rsidRPr="00AF39BA">
        <w:rPr>
          <w:i/>
          <w:iCs/>
          <w:sz w:val="20"/>
          <w:szCs w:val="20"/>
          <w:lang w:val="de-AT"/>
        </w:rPr>
        <w:t>Torggler</w:t>
      </w:r>
      <w:proofErr w:type="spellEnd"/>
      <w:r w:rsidRPr="00AF39BA">
        <w:rPr>
          <w:sz w:val="20"/>
          <w:szCs w:val="20"/>
          <w:lang w:val="de-AT"/>
        </w:rPr>
        <w:t>, UGB</w:t>
      </w:r>
      <w:r w:rsidRPr="00AF39BA">
        <w:rPr>
          <w:sz w:val="20"/>
          <w:szCs w:val="20"/>
          <w:vertAlign w:val="superscript"/>
          <w:lang w:val="de-AT"/>
        </w:rPr>
        <w:t>3</w:t>
      </w:r>
      <w:r w:rsidRPr="00AF39BA">
        <w:rPr>
          <w:sz w:val="20"/>
          <w:szCs w:val="20"/>
          <w:lang w:val="de-AT"/>
        </w:rPr>
        <w:t xml:space="preserve">, § 244 </w:t>
      </w:r>
      <w:proofErr w:type="spellStart"/>
      <w:r w:rsidRPr="00AF39BA">
        <w:rPr>
          <w:sz w:val="20"/>
          <w:szCs w:val="20"/>
          <w:lang w:val="de-AT"/>
        </w:rPr>
        <w:t>Rz</w:t>
      </w:r>
      <w:proofErr w:type="spellEnd"/>
      <w:r w:rsidRPr="00AF39BA">
        <w:rPr>
          <w:sz w:val="20"/>
          <w:szCs w:val="20"/>
          <w:lang w:val="de-AT"/>
        </w:rPr>
        <w:t xml:space="preserve"> 14</w:t>
      </w:r>
      <w:r w:rsidR="00AF39BA">
        <w:rPr>
          <w:sz w:val="20"/>
          <w:szCs w:val="20"/>
          <w:lang w:val="de-AT"/>
        </w:rPr>
        <w:t>.</w:t>
      </w:r>
    </w:p>
  </w:footnote>
  <w:footnote w:id="9">
    <w:p w14:paraId="0EA37AAC" w14:textId="787F5C19" w:rsidR="008A1849" w:rsidRPr="00AF39BA" w:rsidRDefault="008A1849">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Pr="00AF39BA">
        <w:rPr>
          <w:sz w:val="20"/>
          <w:szCs w:val="20"/>
          <w:lang w:val="de-AT"/>
        </w:rPr>
        <w:t>Vgl</w:t>
      </w:r>
      <w:proofErr w:type="spellEnd"/>
      <w:r w:rsidRPr="00AF39BA">
        <w:rPr>
          <w:sz w:val="20"/>
          <w:szCs w:val="20"/>
          <w:lang w:val="de-AT"/>
        </w:rPr>
        <w:t xml:space="preserve"> </w:t>
      </w:r>
      <w:r w:rsidRPr="00AF39BA">
        <w:rPr>
          <w:i/>
          <w:iCs/>
          <w:sz w:val="20"/>
          <w:szCs w:val="20"/>
          <w:lang w:val="de-AT"/>
        </w:rPr>
        <w:t>Göth</w:t>
      </w:r>
      <w:r w:rsidRPr="00AF39BA">
        <w:rPr>
          <w:sz w:val="20"/>
          <w:szCs w:val="20"/>
          <w:lang w:val="de-AT"/>
        </w:rPr>
        <w:t>, Bilanzrecht der Kreditinstitute II, S 11</w:t>
      </w:r>
      <w:r w:rsidR="00AF39BA">
        <w:rPr>
          <w:sz w:val="20"/>
          <w:szCs w:val="20"/>
          <w:lang w:val="de-AT"/>
        </w:rPr>
        <w:t>.</w:t>
      </w:r>
    </w:p>
  </w:footnote>
  <w:footnote w:id="10">
    <w:p w14:paraId="655196F0" w14:textId="10B1EA79" w:rsidR="008A1849" w:rsidRPr="00AF39BA" w:rsidRDefault="008A1849">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i/>
          <w:iCs/>
          <w:sz w:val="20"/>
          <w:szCs w:val="20"/>
          <w:lang w:val="de-AT"/>
        </w:rPr>
        <w:t>Grünberger</w:t>
      </w:r>
      <w:r w:rsidRPr="00AF39BA">
        <w:rPr>
          <w:sz w:val="20"/>
          <w:szCs w:val="20"/>
          <w:lang w:val="de-AT"/>
        </w:rPr>
        <w:t>, Die Konzernrechnungslegungspflicht von Kreditinstituten, RWZ 2009</w:t>
      </w:r>
      <w:r w:rsidR="00AF39BA">
        <w:rPr>
          <w:sz w:val="20"/>
          <w:szCs w:val="20"/>
          <w:lang w:val="de-AT"/>
        </w:rPr>
        <w:t xml:space="preserve">/25, S 81. </w:t>
      </w:r>
    </w:p>
  </w:footnote>
  <w:footnote w:id="11">
    <w:p w14:paraId="4982A12D" w14:textId="532F5EEC" w:rsidR="008A1849" w:rsidRPr="00AF39BA" w:rsidRDefault="008A1849">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sz w:val="20"/>
          <w:szCs w:val="20"/>
          <w:lang w:val="de-AT"/>
        </w:rPr>
        <w:t xml:space="preserve">1130 </w:t>
      </w:r>
      <w:proofErr w:type="spellStart"/>
      <w:r w:rsidRPr="00AF39BA">
        <w:rPr>
          <w:sz w:val="20"/>
          <w:szCs w:val="20"/>
          <w:lang w:val="de-AT"/>
        </w:rPr>
        <w:t>BlgNr</w:t>
      </w:r>
      <w:proofErr w:type="spellEnd"/>
      <w:r w:rsidRPr="00AF39BA">
        <w:rPr>
          <w:sz w:val="20"/>
          <w:szCs w:val="20"/>
          <w:lang w:val="de-AT"/>
        </w:rPr>
        <w:t xml:space="preserve"> XVIII GP 145 zu § 43 BWG</w:t>
      </w:r>
      <w:r w:rsidR="00AF39BA">
        <w:rPr>
          <w:sz w:val="20"/>
          <w:szCs w:val="20"/>
          <w:lang w:val="de-AT"/>
        </w:rPr>
        <w:t>.</w:t>
      </w:r>
    </w:p>
  </w:footnote>
  <w:footnote w:id="12">
    <w:p w14:paraId="2E9DEB79" w14:textId="334EDA92" w:rsidR="00363D4D" w:rsidRPr="00AF39BA" w:rsidRDefault="00363D4D">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Pr="00AF39BA">
        <w:rPr>
          <w:sz w:val="20"/>
          <w:szCs w:val="20"/>
          <w:lang w:val="de-AT"/>
        </w:rPr>
        <w:t>Vgl</w:t>
      </w:r>
      <w:proofErr w:type="spellEnd"/>
      <w:r w:rsidRPr="00AF39BA">
        <w:rPr>
          <w:sz w:val="20"/>
          <w:szCs w:val="20"/>
          <w:lang w:val="de-AT"/>
        </w:rPr>
        <w:t xml:space="preserve"> Göth, Bilanzrecht der Kreditinstitute I</w:t>
      </w:r>
      <w:r w:rsidR="00AF39BA">
        <w:rPr>
          <w:sz w:val="20"/>
          <w:szCs w:val="20"/>
          <w:lang w:val="de-AT"/>
        </w:rPr>
        <w:t>,</w:t>
      </w:r>
      <w:r w:rsidRPr="00AF39BA">
        <w:rPr>
          <w:sz w:val="20"/>
          <w:szCs w:val="20"/>
          <w:lang w:val="de-AT"/>
        </w:rPr>
        <w:t xml:space="preserve"> S 125 f</w:t>
      </w:r>
      <w:r w:rsidR="00AF39BA">
        <w:rPr>
          <w:sz w:val="20"/>
          <w:szCs w:val="20"/>
          <w:lang w:val="de-AT"/>
        </w:rPr>
        <w:t>.</w:t>
      </w:r>
    </w:p>
  </w:footnote>
  <w:footnote w:id="13">
    <w:p w14:paraId="458EAA0D" w14:textId="7032816A" w:rsidR="008A1849" w:rsidRPr="008A1849" w:rsidRDefault="008A1849">
      <w:pPr>
        <w:pStyle w:val="Funotentext"/>
        <w:rPr>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i/>
          <w:iCs/>
          <w:sz w:val="20"/>
          <w:szCs w:val="20"/>
          <w:lang w:val="de-AT"/>
        </w:rPr>
        <w:t>Brandner</w:t>
      </w:r>
      <w:r w:rsidRPr="00AF39BA">
        <w:rPr>
          <w:sz w:val="20"/>
          <w:szCs w:val="20"/>
          <w:lang w:val="de-AT"/>
        </w:rPr>
        <w:t xml:space="preserve"> in </w:t>
      </w:r>
      <w:r w:rsidRPr="00AF39BA">
        <w:rPr>
          <w:i/>
          <w:iCs/>
          <w:sz w:val="20"/>
          <w:szCs w:val="20"/>
          <w:lang w:val="de-AT"/>
        </w:rPr>
        <w:t>Stanzel/Raab/Schmoll</w:t>
      </w:r>
      <w:r w:rsidRPr="00AF39BA">
        <w:rPr>
          <w:sz w:val="20"/>
          <w:szCs w:val="20"/>
          <w:lang w:val="de-AT"/>
        </w:rPr>
        <w:t>, Das BWG im Bankbetrieb, S 218</w:t>
      </w:r>
      <w:r w:rsidR="00AF39BA">
        <w:rPr>
          <w:sz w:val="20"/>
          <w:szCs w:val="20"/>
          <w:lang w:val="de-AT"/>
        </w:rPr>
        <w:t>.</w:t>
      </w:r>
    </w:p>
  </w:footnote>
  <w:footnote w:id="14">
    <w:p w14:paraId="1FA698C3" w14:textId="4CFB3F9A" w:rsidR="008A1849" w:rsidRPr="00AF39BA" w:rsidRDefault="008A1849">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proofErr w:type="spellStart"/>
      <w:r w:rsidRPr="00AF39BA">
        <w:rPr>
          <w:i/>
          <w:iCs/>
          <w:sz w:val="20"/>
          <w:szCs w:val="20"/>
          <w:lang w:val="de-AT"/>
        </w:rPr>
        <w:t>Martetschläger</w:t>
      </w:r>
      <w:proofErr w:type="spellEnd"/>
      <w:r w:rsidRPr="00AF39BA">
        <w:rPr>
          <w:sz w:val="20"/>
          <w:szCs w:val="20"/>
          <w:lang w:val="de-AT"/>
        </w:rPr>
        <w:t xml:space="preserve"> in </w:t>
      </w:r>
      <w:r w:rsidRPr="00AF39BA">
        <w:rPr>
          <w:i/>
          <w:iCs/>
          <w:sz w:val="20"/>
          <w:szCs w:val="20"/>
          <w:lang w:val="de-AT"/>
        </w:rPr>
        <w:t>Dellinger</w:t>
      </w:r>
      <w:r w:rsidRPr="00AF39BA">
        <w:rPr>
          <w:sz w:val="20"/>
          <w:szCs w:val="20"/>
          <w:lang w:val="de-AT"/>
        </w:rPr>
        <w:t xml:space="preserve">, BWG⁸, § 59 </w:t>
      </w:r>
      <w:proofErr w:type="spellStart"/>
      <w:r w:rsidRPr="00AF39BA">
        <w:rPr>
          <w:sz w:val="20"/>
          <w:szCs w:val="20"/>
          <w:lang w:val="de-AT"/>
        </w:rPr>
        <w:t>Rz</w:t>
      </w:r>
      <w:proofErr w:type="spellEnd"/>
      <w:r w:rsidRPr="00AF39BA">
        <w:rPr>
          <w:sz w:val="20"/>
          <w:szCs w:val="20"/>
          <w:lang w:val="de-AT"/>
        </w:rPr>
        <w:t xml:space="preserve"> 4.</w:t>
      </w:r>
    </w:p>
  </w:footnote>
  <w:footnote w:id="15">
    <w:p w14:paraId="1D522B15" w14:textId="21FD4CCE" w:rsidR="008A1849" w:rsidRPr="00AF39BA" w:rsidRDefault="008A1849">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i/>
          <w:iCs/>
          <w:sz w:val="20"/>
          <w:szCs w:val="20"/>
          <w:lang w:val="de-AT"/>
        </w:rPr>
        <w:t>Gaber</w:t>
      </w:r>
      <w:r w:rsidRPr="00AF39BA">
        <w:rPr>
          <w:sz w:val="20"/>
          <w:szCs w:val="20"/>
          <w:lang w:val="de-AT"/>
        </w:rPr>
        <w:t xml:space="preserve"> in </w:t>
      </w:r>
      <w:r w:rsidRPr="00AF39BA">
        <w:rPr>
          <w:i/>
          <w:iCs/>
          <w:sz w:val="20"/>
          <w:szCs w:val="20"/>
          <w:lang w:val="de-AT"/>
        </w:rPr>
        <w:t>Laurer/Schütz/Kammel/Ratka</w:t>
      </w:r>
      <w:r w:rsidRPr="00AF39BA">
        <w:rPr>
          <w:sz w:val="20"/>
          <w:szCs w:val="20"/>
          <w:lang w:val="de-AT"/>
        </w:rPr>
        <w:t xml:space="preserve">, BWG⁴, § 43 </w:t>
      </w:r>
      <w:proofErr w:type="spellStart"/>
      <w:r w:rsidRPr="00AF39BA">
        <w:rPr>
          <w:sz w:val="20"/>
          <w:szCs w:val="20"/>
          <w:lang w:val="de-AT"/>
        </w:rPr>
        <w:t>Rz</w:t>
      </w:r>
      <w:proofErr w:type="spellEnd"/>
      <w:r w:rsidRPr="00AF39BA">
        <w:rPr>
          <w:sz w:val="20"/>
          <w:szCs w:val="20"/>
          <w:lang w:val="de-AT"/>
        </w:rPr>
        <w:t xml:space="preserve"> 2.</w:t>
      </w:r>
    </w:p>
  </w:footnote>
  <w:footnote w:id="16">
    <w:p w14:paraId="700F5D4E" w14:textId="209F0CA3" w:rsidR="00AF085D" w:rsidRPr="00EB60D2" w:rsidRDefault="00AF085D">
      <w:pPr>
        <w:pStyle w:val="Funotentext"/>
        <w:rPr>
          <w:sz w:val="20"/>
          <w:szCs w:val="20"/>
          <w:lang w:val="de-AT"/>
        </w:rPr>
      </w:pPr>
      <w:r>
        <w:rPr>
          <w:rStyle w:val="Funotenzeichen"/>
        </w:rPr>
        <w:footnoteRef/>
      </w:r>
      <w:r w:rsidRPr="00EB60D2">
        <w:rPr>
          <w:lang w:val="de-AT"/>
        </w:rPr>
        <w:t xml:space="preserve"> </w:t>
      </w:r>
      <w:proofErr w:type="spellStart"/>
      <w:r w:rsidR="00EB60D2">
        <w:rPr>
          <w:sz w:val="20"/>
          <w:szCs w:val="20"/>
          <w:lang w:val="de-AT"/>
        </w:rPr>
        <w:t>Vgl</w:t>
      </w:r>
      <w:proofErr w:type="spellEnd"/>
      <w:r w:rsidR="00EB60D2">
        <w:rPr>
          <w:sz w:val="20"/>
          <w:szCs w:val="20"/>
          <w:lang w:val="de-AT"/>
        </w:rPr>
        <w:t xml:space="preserve"> </w:t>
      </w:r>
      <w:r w:rsidRPr="00EB60D2">
        <w:rPr>
          <w:i/>
          <w:iCs/>
          <w:sz w:val="20"/>
          <w:szCs w:val="20"/>
          <w:lang w:val="de-AT"/>
        </w:rPr>
        <w:t>Grünberger</w:t>
      </w:r>
      <w:r w:rsidRPr="00EB60D2">
        <w:rPr>
          <w:sz w:val="20"/>
          <w:szCs w:val="20"/>
          <w:lang w:val="de-AT"/>
        </w:rPr>
        <w:t>, Die Konzernrechnungslegungspflicht von Kreditinstituten, RWZ 2009</w:t>
      </w:r>
      <w:r w:rsidR="00EB60D2">
        <w:rPr>
          <w:sz w:val="20"/>
          <w:szCs w:val="20"/>
          <w:lang w:val="de-AT"/>
        </w:rPr>
        <w:t>/</w:t>
      </w:r>
      <w:r w:rsidRPr="00EB60D2">
        <w:rPr>
          <w:sz w:val="20"/>
          <w:szCs w:val="20"/>
          <w:lang w:val="de-AT"/>
        </w:rPr>
        <w:t>25 S 81f</w:t>
      </w:r>
      <w:r w:rsidR="00EB60D2">
        <w:rPr>
          <w:sz w:val="20"/>
          <w:szCs w:val="20"/>
          <w:lang w:val="de-AT"/>
        </w:rPr>
        <w:t>.</w:t>
      </w:r>
    </w:p>
  </w:footnote>
  <w:footnote w:id="17">
    <w:p w14:paraId="5C3788F4" w14:textId="127DABCA" w:rsidR="00FC69C5" w:rsidRPr="00AF39BA" w:rsidRDefault="00FC69C5">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i/>
          <w:iCs/>
          <w:sz w:val="20"/>
          <w:szCs w:val="20"/>
          <w:lang w:val="de-AT"/>
        </w:rPr>
        <w:t>Göth</w:t>
      </w:r>
      <w:r w:rsidRPr="00AF39BA">
        <w:rPr>
          <w:sz w:val="20"/>
          <w:szCs w:val="20"/>
          <w:lang w:val="de-AT"/>
        </w:rPr>
        <w:t>, Bilanzrecht der Kreditinstitute II</w:t>
      </w:r>
      <w:r w:rsidR="00AF39BA">
        <w:rPr>
          <w:sz w:val="20"/>
          <w:szCs w:val="20"/>
          <w:lang w:val="de-AT"/>
        </w:rPr>
        <w:t>,</w:t>
      </w:r>
      <w:r w:rsidRPr="00AF39BA">
        <w:rPr>
          <w:sz w:val="20"/>
          <w:szCs w:val="20"/>
          <w:lang w:val="de-AT"/>
        </w:rPr>
        <w:t xml:space="preserve"> S 4</w:t>
      </w:r>
      <w:r w:rsidR="00AF39BA">
        <w:rPr>
          <w:sz w:val="20"/>
          <w:szCs w:val="20"/>
          <w:lang w:val="de-AT"/>
        </w:rPr>
        <w:t>.</w:t>
      </w:r>
    </w:p>
  </w:footnote>
  <w:footnote w:id="18">
    <w:p w14:paraId="2D5D0081" w14:textId="4E4DB0A6" w:rsidR="00FC69C5" w:rsidRPr="00AF39BA" w:rsidRDefault="00FC69C5">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i/>
          <w:iCs/>
          <w:sz w:val="20"/>
          <w:szCs w:val="20"/>
          <w:lang w:val="de-AT"/>
        </w:rPr>
        <w:t>Göth</w:t>
      </w:r>
      <w:r w:rsidRPr="00AF39BA">
        <w:rPr>
          <w:sz w:val="20"/>
          <w:szCs w:val="20"/>
          <w:lang w:val="de-AT"/>
        </w:rPr>
        <w:t>, Bilanzrecht der Kreditinstitute II, S 1</w:t>
      </w:r>
      <w:r w:rsidR="00AF39BA">
        <w:rPr>
          <w:sz w:val="20"/>
          <w:szCs w:val="20"/>
          <w:lang w:val="de-AT"/>
        </w:rPr>
        <w:t>.</w:t>
      </w:r>
    </w:p>
  </w:footnote>
  <w:footnote w:id="19">
    <w:p w14:paraId="4E27A4C9" w14:textId="2D4BCD87" w:rsidR="00FC69C5" w:rsidRPr="00FC69C5" w:rsidRDefault="00FC69C5">
      <w:pPr>
        <w:pStyle w:val="Funotentext"/>
        <w:rPr>
          <w:lang w:val="de-AT"/>
        </w:rPr>
      </w:pPr>
      <w:r w:rsidRPr="00AF39BA">
        <w:rPr>
          <w:rStyle w:val="Funotenzeichen"/>
          <w:sz w:val="20"/>
          <w:szCs w:val="20"/>
        </w:rPr>
        <w:footnoteRef/>
      </w:r>
      <w:r w:rsidRPr="00AF39BA">
        <w:rPr>
          <w:sz w:val="20"/>
          <w:szCs w:val="20"/>
          <w:lang w:val="de-AT"/>
        </w:rPr>
        <w:t xml:space="preserve"> </w:t>
      </w:r>
      <w:r w:rsidR="00AF085D">
        <w:rPr>
          <w:sz w:val="20"/>
          <w:szCs w:val="20"/>
          <w:lang w:val="de-AT"/>
        </w:rPr>
        <w:t>Siehe FN 17.</w:t>
      </w:r>
    </w:p>
  </w:footnote>
  <w:footnote w:id="20">
    <w:p w14:paraId="77D070E9" w14:textId="6F07643A" w:rsidR="00FC69C5" w:rsidRPr="00AF39BA" w:rsidRDefault="00FC69C5">
      <w:pPr>
        <w:pStyle w:val="Funotentext"/>
        <w:rPr>
          <w:sz w:val="20"/>
          <w:szCs w:val="20"/>
          <w:lang w:val="de-AT"/>
        </w:rPr>
      </w:pPr>
      <w:r w:rsidRPr="00AF39BA">
        <w:rPr>
          <w:rStyle w:val="Funotenzeichen"/>
          <w:sz w:val="20"/>
          <w:szCs w:val="20"/>
        </w:rPr>
        <w:footnoteRef/>
      </w:r>
      <w:r w:rsidRPr="00AF39BA">
        <w:rPr>
          <w:sz w:val="20"/>
          <w:szCs w:val="20"/>
          <w:lang w:val="de-AT"/>
        </w:rPr>
        <w:t xml:space="preserve"> </w:t>
      </w:r>
      <w:r w:rsidR="00AF39BA">
        <w:rPr>
          <w:sz w:val="20"/>
          <w:szCs w:val="20"/>
          <w:lang w:val="de-AT"/>
        </w:rPr>
        <w:t>S</w:t>
      </w:r>
      <w:r w:rsidRPr="00221C01">
        <w:rPr>
          <w:sz w:val="20"/>
          <w:szCs w:val="20"/>
          <w:lang w:val="de-AT"/>
        </w:rPr>
        <w:t xml:space="preserve">iehe eingehend </w:t>
      </w:r>
      <w:r w:rsidRPr="00221C01">
        <w:rPr>
          <w:i/>
          <w:iCs/>
          <w:sz w:val="20"/>
          <w:szCs w:val="20"/>
          <w:lang w:val="de-AT"/>
        </w:rPr>
        <w:t>Göth</w:t>
      </w:r>
      <w:r w:rsidRPr="00221C01">
        <w:rPr>
          <w:sz w:val="20"/>
          <w:szCs w:val="20"/>
          <w:lang w:val="de-AT"/>
        </w:rPr>
        <w:t>, Bilanzrecht der</w:t>
      </w:r>
      <w:r w:rsidRPr="00AF39BA">
        <w:rPr>
          <w:sz w:val="20"/>
          <w:szCs w:val="20"/>
          <w:lang w:val="de-AT"/>
        </w:rPr>
        <w:t xml:space="preserve"> </w:t>
      </w:r>
      <w:r w:rsidRPr="00221C01">
        <w:rPr>
          <w:sz w:val="20"/>
          <w:szCs w:val="20"/>
          <w:lang w:val="de-AT"/>
        </w:rPr>
        <w:t>Kreditinstitute II, 1996, S 8</w:t>
      </w:r>
      <w:r w:rsidR="00AF39BA">
        <w:rPr>
          <w:sz w:val="20"/>
          <w:szCs w:val="20"/>
          <w:lang w:val="de-AT"/>
        </w:rPr>
        <w:t>ff</w:t>
      </w:r>
      <w:r w:rsidRPr="00221C01">
        <w:rPr>
          <w:sz w:val="20"/>
          <w:szCs w:val="20"/>
          <w:lang w:val="de-AT"/>
        </w:rPr>
        <w:t>.</w:t>
      </w:r>
    </w:p>
  </w:footnote>
  <w:footnote w:id="21">
    <w:p w14:paraId="7B31DF20" w14:textId="31255FD7" w:rsidR="00FC69C5" w:rsidRPr="00AF39BA" w:rsidRDefault="00FC69C5">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proofErr w:type="spellStart"/>
      <w:r w:rsidRPr="00AF39BA">
        <w:rPr>
          <w:i/>
          <w:iCs/>
          <w:sz w:val="20"/>
          <w:szCs w:val="20"/>
          <w:lang w:val="de-AT"/>
        </w:rPr>
        <w:t>Martetschläger</w:t>
      </w:r>
      <w:proofErr w:type="spellEnd"/>
      <w:r w:rsidRPr="00AF39BA">
        <w:rPr>
          <w:sz w:val="20"/>
          <w:szCs w:val="20"/>
          <w:lang w:val="de-AT"/>
        </w:rPr>
        <w:t xml:space="preserve"> in </w:t>
      </w:r>
      <w:r w:rsidRPr="00AF39BA">
        <w:rPr>
          <w:i/>
          <w:iCs/>
          <w:sz w:val="20"/>
          <w:szCs w:val="20"/>
          <w:lang w:val="de-AT"/>
        </w:rPr>
        <w:t>Dellinger</w:t>
      </w:r>
      <w:r w:rsidRPr="00AF39BA">
        <w:rPr>
          <w:sz w:val="20"/>
          <w:szCs w:val="20"/>
          <w:lang w:val="de-AT"/>
        </w:rPr>
        <w:t xml:space="preserve">, BWG⁸, § 59 </w:t>
      </w:r>
      <w:proofErr w:type="spellStart"/>
      <w:r w:rsidRPr="00AF39BA">
        <w:rPr>
          <w:sz w:val="20"/>
          <w:szCs w:val="20"/>
          <w:lang w:val="de-AT"/>
        </w:rPr>
        <w:t>Rz</w:t>
      </w:r>
      <w:proofErr w:type="spellEnd"/>
      <w:r w:rsidRPr="00AF39BA">
        <w:rPr>
          <w:sz w:val="20"/>
          <w:szCs w:val="20"/>
          <w:lang w:val="de-AT"/>
        </w:rPr>
        <w:t xml:space="preserve"> 7.</w:t>
      </w:r>
    </w:p>
  </w:footnote>
  <w:footnote w:id="22">
    <w:p w14:paraId="19C64D0D" w14:textId="1FDB64E8" w:rsidR="00FC69C5" w:rsidRPr="00FC69C5" w:rsidRDefault="00FC69C5">
      <w:pPr>
        <w:pStyle w:val="Funotentext"/>
        <w:rPr>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i/>
          <w:iCs/>
          <w:sz w:val="20"/>
          <w:szCs w:val="20"/>
          <w:lang w:val="de-AT"/>
        </w:rPr>
        <w:t>Fröhlich/Haberer</w:t>
      </w:r>
      <w:r w:rsidRPr="00AF39BA">
        <w:rPr>
          <w:sz w:val="20"/>
          <w:szCs w:val="20"/>
          <w:lang w:val="de-AT"/>
        </w:rPr>
        <w:t xml:space="preserve"> in </w:t>
      </w:r>
      <w:proofErr w:type="spellStart"/>
      <w:r w:rsidRPr="00AF39BA">
        <w:rPr>
          <w:i/>
          <w:iCs/>
          <w:sz w:val="20"/>
          <w:szCs w:val="20"/>
          <w:lang w:val="de-AT"/>
        </w:rPr>
        <w:t>Torggler</w:t>
      </w:r>
      <w:proofErr w:type="spellEnd"/>
      <w:r w:rsidRPr="00AF39BA">
        <w:rPr>
          <w:sz w:val="20"/>
          <w:szCs w:val="20"/>
          <w:lang w:val="de-AT"/>
        </w:rPr>
        <w:t>, UGB</w:t>
      </w:r>
      <w:r w:rsidRPr="00AF39BA">
        <w:rPr>
          <w:sz w:val="20"/>
          <w:szCs w:val="20"/>
          <w:vertAlign w:val="superscript"/>
          <w:lang w:val="de-AT"/>
        </w:rPr>
        <w:t>3</w:t>
      </w:r>
      <w:r w:rsidRPr="00AF39BA">
        <w:rPr>
          <w:sz w:val="20"/>
          <w:szCs w:val="20"/>
          <w:lang w:val="de-AT"/>
        </w:rPr>
        <w:t xml:space="preserve">, § 245a </w:t>
      </w:r>
      <w:proofErr w:type="spellStart"/>
      <w:r w:rsidRPr="00AF39BA">
        <w:rPr>
          <w:sz w:val="20"/>
          <w:szCs w:val="20"/>
          <w:lang w:val="de-AT"/>
        </w:rPr>
        <w:t>Rz</w:t>
      </w:r>
      <w:proofErr w:type="spellEnd"/>
      <w:r w:rsidRPr="00AF39BA">
        <w:rPr>
          <w:sz w:val="20"/>
          <w:szCs w:val="20"/>
          <w:lang w:val="de-AT"/>
        </w:rPr>
        <w:t xml:space="preserve"> 8a; </w:t>
      </w:r>
      <w:proofErr w:type="spellStart"/>
      <w:r w:rsidRPr="00AF39BA">
        <w:rPr>
          <w:i/>
          <w:iCs/>
          <w:sz w:val="20"/>
          <w:szCs w:val="20"/>
          <w:lang w:val="de-AT"/>
        </w:rPr>
        <w:t>Rohatschek</w:t>
      </w:r>
      <w:proofErr w:type="spellEnd"/>
      <w:r w:rsidRPr="00AF39BA">
        <w:rPr>
          <w:sz w:val="20"/>
          <w:szCs w:val="20"/>
          <w:lang w:val="de-AT"/>
        </w:rPr>
        <w:t xml:space="preserve"> in </w:t>
      </w:r>
      <w:r w:rsidRPr="00AF39BA">
        <w:rPr>
          <w:i/>
          <w:iCs/>
          <w:sz w:val="20"/>
          <w:szCs w:val="20"/>
          <w:lang w:val="de-AT"/>
        </w:rPr>
        <w:t>Haberer/Krejci</w:t>
      </w:r>
      <w:r w:rsidRPr="00AF39BA">
        <w:rPr>
          <w:sz w:val="20"/>
          <w:szCs w:val="20"/>
          <w:lang w:val="de-AT"/>
        </w:rPr>
        <w:t xml:space="preserve">, Konzernrecht </w:t>
      </w:r>
      <w:proofErr w:type="spellStart"/>
      <w:r w:rsidRPr="00AF39BA">
        <w:rPr>
          <w:sz w:val="20"/>
          <w:szCs w:val="20"/>
          <w:lang w:val="de-AT"/>
        </w:rPr>
        <w:t>Rz</w:t>
      </w:r>
      <w:proofErr w:type="spellEnd"/>
      <w:r w:rsidRPr="00AF39BA">
        <w:rPr>
          <w:sz w:val="20"/>
          <w:szCs w:val="20"/>
          <w:lang w:val="de-AT"/>
        </w:rPr>
        <w:t xml:space="preserve"> 25.8.</w:t>
      </w:r>
      <w:r>
        <w:rPr>
          <w:sz w:val="20"/>
          <w:szCs w:val="20"/>
          <w:lang w:val="de-AT"/>
        </w:rPr>
        <w:t xml:space="preserve"> </w:t>
      </w:r>
      <w:r w:rsidRPr="00673AF6">
        <w:rPr>
          <w:lang w:val="de-AT"/>
        </w:rPr>
        <w:t xml:space="preserve"> </w:t>
      </w:r>
    </w:p>
  </w:footnote>
  <w:footnote w:id="23">
    <w:p w14:paraId="0E3CFF66" w14:textId="2A376AD8" w:rsidR="00FC69C5" w:rsidRPr="00AF39BA" w:rsidRDefault="00FC69C5">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sz w:val="20"/>
          <w:szCs w:val="20"/>
          <w:lang w:val="de-AT"/>
        </w:rPr>
        <w:t>Göth, Bilanzrecht der Kreditinstitute I, S 135.</w:t>
      </w:r>
    </w:p>
  </w:footnote>
  <w:footnote w:id="24">
    <w:p w14:paraId="173639A1" w14:textId="424ADE88" w:rsidR="00FC69C5" w:rsidRPr="00AF39BA" w:rsidRDefault="00FC69C5">
      <w:pPr>
        <w:pStyle w:val="Funotentext"/>
        <w:rPr>
          <w:sz w:val="20"/>
          <w:szCs w:val="20"/>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r w:rsidRPr="00AF39BA">
        <w:rPr>
          <w:sz w:val="20"/>
          <w:szCs w:val="20"/>
          <w:lang w:val="de-AT"/>
        </w:rPr>
        <w:t>Göth, Bilanzrecht der Kreditinstitute I</w:t>
      </w:r>
      <w:r w:rsidR="00AF39BA">
        <w:rPr>
          <w:sz w:val="20"/>
          <w:szCs w:val="20"/>
          <w:lang w:val="de-AT"/>
        </w:rPr>
        <w:t>,</w:t>
      </w:r>
      <w:r w:rsidRPr="00AF39BA">
        <w:rPr>
          <w:sz w:val="20"/>
          <w:szCs w:val="20"/>
          <w:lang w:val="de-AT"/>
        </w:rPr>
        <w:t xml:space="preserve"> S 92.</w:t>
      </w:r>
    </w:p>
  </w:footnote>
  <w:footnote w:id="25">
    <w:p w14:paraId="6FDA3C90" w14:textId="1CEC2E46" w:rsidR="00FC69C5" w:rsidRPr="00FC69C5" w:rsidRDefault="00FC69C5">
      <w:pPr>
        <w:pStyle w:val="Funotentext"/>
        <w:rPr>
          <w:lang w:val="de-AT"/>
        </w:rPr>
      </w:pPr>
      <w:r w:rsidRPr="00AF39BA">
        <w:rPr>
          <w:rStyle w:val="Funotenzeichen"/>
          <w:sz w:val="20"/>
          <w:szCs w:val="20"/>
        </w:rPr>
        <w:footnoteRef/>
      </w:r>
      <w:r w:rsidRPr="00AF39BA">
        <w:rPr>
          <w:sz w:val="20"/>
          <w:szCs w:val="20"/>
          <w:lang w:val="de-AT"/>
        </w:rPr>
        <w:t xml:space="preserve"> </w:t>
      </w:r>
      <w:proofErr w:type="spellStart"/>
      <w:r w:rsidR="00AF39BA">
        <w:rPr>
          <w:sz w:val="20"/>
          <w:szCs w:val="20"/>
          <w:lang w:val="de-AT"/>
        </w:rPr>
        <w:t>Vgl</w:t>
      </w:r>
      <w:proofErr w:type="spellEnd"/>
      <w:r w:rsidR="00AF39BA">
        <w:rPr>
          <w:sz w:val="20"/>
          <w:szCs w:val="20"/>
          <w:lang w:val="de-AT"/>
        </w:rPr>
        <w:t xml:space="preserve"> </w:t>
      </w:r>
      <w:proofErr w:type="spellStart"/>
      <w:r w:rsidRPr="00AF39BA">
        <w:rPr>
          <w:i/>
          <w:iCs/>
          <w:sz w:val="20"/>
          <w:szCs w:val="20"/>
          <w:lang w:val="de-AT"/>
        </w:rPr>
        <w:t>Martetschläger</w:t>
      </w:r>
      <w:proofErr w:type="spellEnd"/>
      <w:r w:rsidRPr="00AF39BA">
        <w:rPr>
          <w:i/>
          <w:iCs/>
          <w:sz w:val="20"/>
          <w:szCs w:val="20"/>
          <w:lang w:val="de-AT"/>
        </w:rPr>
        <w:t xml:space="preserve"> </w:t>
      </w:r>
      <w:r w:rsidRPr="00AF39BA">
        <w:rPr>
          <w:sz w:val="20"/>
          <w:szCs w:val="20"/>
          <w:lang w:val="de-AT"/>
        </w:rPr>
        <w:t xml:space="preserve">in </w:t>
      </w:r>
      <w:r w:rsidRPr="00AF39BA">
        <w:rPr>
          <w:i/>
          <w:iCs/>
          <w:sz w:val="20"/>
          <w:szCs w:val="20"/>
          <w:lang w:val="de-AT"/>
        </w:rPr>
        <w:t>Dellinger</w:t>
      </w:r>
      <w:r w:rsidRPr="00AF39BA">
        <w:rPr>
          <w:sz w:val="20"/>
          <w:szCs w:val="20"/>
          <w:lang w:val="de-AT"/>
        </w:rPr>
        <w:t>, BWG</w:t>
      </w:r>
      <w:r w:rsidRPr="00AF39BA">
        <w:rPr>
          <w:sz w:val="20"/>
          <w:szCs w:val="20"/>
          <w:vertAlign w:val="superscript"/>
          <w:lang w:val="de-AT"/>
        </w:rPr>
        <w:t>8</w:t>
      </w:r>
      <w:r w:rsidRPr="00AF39BA">
        <w:rPr>
          <w:sz w:val="20"/>
          <w:szCs w:val="20"/>
          <w:lang w:val="de-AT"/>
        </w:rPr>
        <w:t xml:space="preserve">, § 59 </w:t>
      </w:r>
      <w:proofErr w:type="spellStart"/>
      <w:r w:rsidRPr="00AF39BA">
        <w:rPr>
          <w:sz w:val="20"/>
          <w:szCs w:val="20"/>
          <w:lang w:val="de-AT"/>
        </w:rPr>
        <w:t>Rz</w:t>
      </w:r>
      <w:proofErr w:type="spellEnd"/>
      <w:r w:rsidRPr="00AF39BA">
        <w:rPr>
          <w:sz w:val="20"/>
          <w:szCs w:val="20"/>
          <w:lang w:val="de-AT"/>
        </w:rPr>
        <w:t xml:space="preserve"> 10</w:t>
      </w:r>
      <w:r w:rsidR="00AF39BA">
        <w:rPr>
          <w:sz w:val="20"/>
          <w:szCs w:val="20"/>
          <w:lang w:val="de-AT"/>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A090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030B8D"/>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3534EA"/>
    <w:multiLevelType w:val="multilevel"/>
    <w:tmpl w:val="B9FA27D6"/>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CB6516F"/>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32B089F"/>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94342BB"/>
    <w:multiLevelType w:val="hybridMultilevel"/>
    <w:tmpl w:val="545226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5C4F131F"/>
    <w:multiLevelType w:val="multilevel"/>
    <w:tmpl w:val="4858BAA0"/>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DFA78DC"/>
    <w:multiLevelType w:val="multilevel"/>
    <w:tmpl w:val="FC3AC1EC"/>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E036A1C"/>
    <w:multiLevelType w:val="multilevel"/>
    <w:tmpl w:val="4858BAA0"/>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9345032">
    <w:abstractNumId w:val="0"/>
  </w:num>
  <w:num w:numId="2" w16cid:durableId="167257018">
    <w:abstractNumId w:val="3"/>
  </w:num>
  <w:num w:numId="3" w16cid:durableId="738599876">
    <w:abstractNumId w:val="7"/>
  </w:num>
  <w:num w:numId="4" w16cid:durableId="1005715474">
    <w:abstractNumId w:val="8"/>
  </w:num>
  <w:num w:numId="5" w16cid:durableId="1060834875">
    <w:abstractNumId w:val="1"/>
  </w:num>
  <w:num w:numId="6" w16cid:durableId="1832213054">
    <w:abstractNumId w:val="4"/>
  </w:num>
  <w:num w:numId="7" w16cid:durableId="1110511254">
    <w:abstractNumId w:val="6"/>
  </w:num>
  <w:num w:numId="8" w16cid:durableId="932519148">
    <w:abstractNumId w:val="2"/>
  </w:num>
  <w:num w:numId="9" w16cid:durableId="960500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690"/>
    <w:rsid w:val="001137FC"/>
    <w:rsid w:val="00181268"/>
    <w:rsid w:val="00221C01"/>
    <w:rsid w:val="00275055"/>
    <w:rsid w:val="0028466A"/>
    <w:rsid w:val="00363D4D"/>
    <w:rsid w:val="00460F53"/>
    <w:rsid w:val="00487690"/>
    <w:rsid w:val="004A7E86"/>
    <w:rsid w:val="004D7D8D"/>
    <w:rsid w:val="00536937"/>
    <w:rsid w:val="0056355E"/>
    <w:rsid w:val="0057009F"/>
    <w:rsid w:val="00574FF8"/>
    <w:rsid w:val="0060114C"/>
    <w:rsid w:val="00627643"/>
    <w:rsid w:val="00647A91"/>
    <w:rsid w:val="00673AF6"/>
    <w:rsid w:val="006E349D"/>
    <w:rsid w:val="007102DC"/>
    <w:rsid w:val="00770478"/>
    <w:rsid w:val="0083561B"/>
    <w:rsid w:val="008427B2"/>
    <w:rsid w:val="008A1849"/>
    <w:rsid w:val="008D4A45"/>
    <w:rsid w:val="008D5D99"/>
    <w:rsid w:val="009A3669"/>
    <w:rsid w:val="00A42662"/>
    <w:rsid w:val="00A745F6"/>
    <w:rsid w:val="00AE44FB"/>
    <w:rsid w:val="00AF085D"/>
    <w:rsid w:val="00AF39BA"/>
    <w:rsid w:val="00B75632"/>
    <w:rsid w:val="00C23148"/>
    <w:rsid w:val="00C5749E"/>
    <w:rsid w:val="00C82186"/>
    <w:rsid w:val="00CA1E12"/>
    <w:rsid w:val="00CE34D9"/>
    <w:rsid w:val="00D71B30"/>
    <w:rsid w:val="00E1439B"/>
    <w:rsid w:val="00E416A6"/>
    <w:rsid w:val="00EB1627"/>
    <w:rsid w:val="00EB60D2"/>
    <w:rsid w:val="00F00E8F"/>
    <w:rsid w:val="00FB12E1"/>
    <w:rsid w:val="00FB6FF6"/>
    <w:rsid w:val="00FC69C5"/>
    <w:rsid w:val="00FD13B6"/>
    <w:rsid w:val="00FE7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5608"/>
  <w15:docId w15:val="{1C020D3E-E0A7-4A43-812D-D25CA8EF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rsid w:val="00C23148"/>
    <w:pPr>
      <w:spacing w:before="280" w:after="140"/>
      <w:outlineLvl w:val="1"/>
    </w:pPr>
    <w:rPr>
      <w:rFonts w:eastAsia="Times New Roman" w:cs="Times New Roman"/>
      <w:b/>
      <w:bCs/>
      <w:sz w:val="26"/>
      <w:szCs w:val="26"/>
      <w:lang w:val="de-AT" w:eastAsia="de-AT"/>
    </w:rPr>
  </w:style>
  <w:style w:type="paragraph" w:styleId="berschrift3">
    <w:name w:val="heading 3"/>
    <w:basedOn w:val="Standard"/>
    <w:next w:val="Textkrper"/>
    <w:uiPriority w:val="9"/>
    <w:unhideWhenUsed/>
    <w:qFormat/>
    <w:rsid w:val="00770478"/>
    <w:pPr>
      <w:keepNext/>
      <w:keepLines/>
      <w:spacing w:before="320" w:after="240"/>
      <w:outlineLvl w:val="2"/>
    </w:pPr>
    <w:rPr>
      <w:rFonts w:eastAsia="Times New Roman" w:cs="Times New Roman"/>
      <w:b/>
      <w:bCs/>
      <w:sz w:val="22"/>
      <w:szCs w:val="22"/>
      <w:lang w:val="de-AT" w:eastAsia="de-AT"/>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enabsatz">
    <w:name w:val="List Paragraph"/>
    <w:basedOn w:val="Standard"/>
    <w:rsid w:val="00770478"/>
    <w:pPr>
      <w:ind w:left="720"/>
      <w:contextualSpacing/>
    </w:pPr>
  </w:style>
  <w:style w:type="character" w:styleId="Kommentarzeichen">
    <w:name w:val="annotation reference"/>
    <w:basedOn w:val="Absatz-Standardschriftart"/>
    <w:rsid w:val="00673AF6"/>
    <w:rPr>
      <w:sz w:val="16"/>
      <w:szCs w:val="16"/>
    </w:rPr>
  </w:style>
  <w:style w:type="paragraph" w:styleId="Kommentartext">
    <w:name w:val="annotation text"/>
    <w:basedOn w:val="Standard"/>
    <w:link w:val="KommentartextZchn"/>
    <w:rsid w:val="00673AF6"/>
    <w:rPr>
      <w:sz w:val="20"/>
      <w:szCs w:val="20"/>
    </w:rPr>
  </w:style>
  <w:style w:type="character" w:customStyle="1" w:styleId="KommentartextZchn">
    <w:name w:val="Kommentartext Zchn"/>
    <w:basedOn w:val="Absatz-Standardschriftart"/>
    <w:link w:val="Kommentartext"/>
    <w:rsid w:val="00673AF6"/>
    <w:rPr>
      <w:sz w:val="20"/>
      <w:szCs w:val="20"/>
    </w:rPr>
  </w:style>
  <w:style w:type="paragraph" w:styleId="Kommentarthema">
    <w:name w:val="annotation subject"/>
    <w:basedOn w:val="Kommentartext"/>
    <w:next w:val="Kommentartext"/>
    <w:link w:val="KommentarthemaZchn"/>
    <w:rsid w:val="00673AF6"/>
    <w:rPr>
      <w:b/>
      <w:bCs/>
    </w:rPr>
  </w:style>
  <w:style w:type="character" w:customStyle="1" w:styleId="KommentarthemaZchn">
    <w:name w:val="Kommentarthema Zchn"/>
    <w:basedOn w:val="KommentartextZchn"/>
    <w:link w:val="Kommentarthema"/>
    <w:rsid w:val="00673AF6"/>
    <w:rPr>
      <w:b/>
      <w:bCs/>
      <w:sz w:val="20"/>
      <w:szCs w:val="20"/>
    </w:rPr>
  </w:style>
  <w:style w:type="paragraph" w:styleId="berarbeitung">
    <w:name w:val="Revision"/>
    <w:hidden/>
    <w:rsid w:val="00AF085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F6D75-BB45-4E07-8B15-C3710A5DBD93}">
  <ds:schemaRefs>
    <ds:schemaRef ds:uri="http://schemas.openxmlformats.org/officeDocument/2006/bibliography"/>
  </ds:schemaRefs>
</ds:datastoreItem>
</file>

<file path=docMetadata/LabelInfo.xml><?xml version="1.0" encoding="utf-8"?>
<clbl:labelList xmlns:clbl="http://schemas.microsoft.com/office/2020/mipLabelMetadata">
  <clbl:label id="{5cc3f33d-710a-4d14-985e-7829abc61f4b}" enabled="1" method="Standard" siteId="{8c4c0431-0b4f-4689-b059-0c642dabbad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3236</Words>
  <Characters>20393</Characters>
  <Application>Microsoft Office Word</Application>
  <DocSecurity>0</DocSecurity>
  <Lines>169</Lines>
  <Paragraphs>47</Paragraphs>
  <ScaleCrop>false</ScaleCrop>
  <HeadingPairs>
    <vt:vector size="2" baseType="variant">
      <vt:variant>
        <vt:lpstr>Titel</vt:lpstr>
      </vt:variant>
      <vt:variant>
        <vt:i4>1</vt:i4>
      </vt:variant>
    </vt:vector>
  </HeadingPairs>
  <TitlesOfParts>
    <vt:vector size="1" baseType="lpstr">
      <vt:lpstr/>
    </vt:vector>
  </TitlesOfParts>
  <Company>Raiffeisenbankengruppe Oberoesterreich</Company>
  <LinksUpToDate>false</LinksUpToDate>
  <CharactersWithSpaces>23582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Christine Dicken</dc:creator>
  <cp:keywords/>
  <cp:lastModifiedBy>Christine Dicken</cp:lastModifiedBy>
  <cp:revision>2</cp:revision>
  <dcterms:created xsi:type="dcterms:W3CDTF">2026-04-15T12:51:00Z</dcterms:created>
  <dcterms:modified xsi:type="dcterms:W3CDTF">2026-04-15T12:51:00Z</dcterms:modified>
</cp:coreProperties>
</file>