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left"/>
        <w:rPr>
          <w:b w:val="false"/>
          <w:b w:val="false"/>
          <w:bCs w:val="false"/>
        </w:rPr>
      </w:pPr>
      <w:r>
        <w:rPr>
          <w:b w:val="false"/>
          <w:bCs w:val="false"/>
        </w:rPr>
      </w:r>
    </w:p>
    <w:p>
      <w:pPr>
        <w:pStyle w:val="Title"/>
        <w:bidi w:val="0"/>
        <w:jc w:val="left"/>
        <w:rPr>
          <w:b w:val="false"/>
          <w:b w:val="false"/>
          <w:bCs w:val="false"/>
        </w:rPr>
      </w:pPr>
      <w:r>
        <w:rPr>
          <w:b w:val="false"/>
          <w:bCs w:val="false"/>
        </w:rPr>
      </w:r>
    </w:p>
    <w:p>
      <w:pPr>
        <w:pStyle w:val="Title"/>
        <w:bidi w:val="0"/>
        <w:jc w:val="left"/>
        <w:rPr>
          <w:b w:val="false"/>
          <w:b w:val="false"/>
          <w:bCs w:val="false"/>
        </w:rPr>
      </w:pPr>
      <w:r>
        <w:rPr>
          <w:b w:val="false"/>
          <w:bCs w:val="false"/>
        </w:rPr>
        <w:drawing>
          <wp:anchor behindDoc="0" distT="0" distB="0" distL="0" distR="0" simplePos="0" locked="0" layoutInCell="0" allowOverlap="1" relativeHeight="2">
            <wp:simplePos x="0" y="0"/>
            <wp:positionH relativeFrom="column">
              <wp:posOffset>36195</wp:posOffset>
            </wp:positionH>
            <wp:positionV relativeFrom="paragraph">
              <wp:posOffset>-20320</wp:posOffset>
            </wp:positionV>
            <wp:extent cx="1752600" cy="831215"/>
            <wp:effectExtent l="0" t="0" r="0" b="0"/>
            <wp:wrapTopAndBottom/>
            <wp:docPr id="1" name="Image1-pzh-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zh-logo" descr=""/>
                    <pic:cNvPicPr>
                      <a:picLocks noChangeAspect="1" noChangeArrowheads="1"/>
                    </pic:cNvPicPr>
                  </pic:nvPicPr>
                  <pic:blipFill>
                    <a:blip r:embed="rId2"/>
                    <a:stretch>
                      <a:fillRect/>
                    </a:stretch>
                  </pic:blipFill>
                  <pic:spPr bwMode="auto">
                    <a:xfrm>
                      <a:off x="0" y="0"/>
                      <a:ext cx="1752600" cy="831215"/>
                    </a:xfrm>
                    <a:prstGeom prst="rect">
                      <a:avLst/>
                    </a:prstGeom>
                  </pic:spPr>
                </pic:pic>
              </a:graphicData>
            </a:graphic>
          </wp:anchor>
        </w:drawing>
      </w:r>
    </w:p>
    <w:p>
      <w:pPr>
        <w:pStyle w:val="Title"/>
        <w:bidi w:val="0"/>
        <w:jc w:val="left"/>
        <w:rPr>
          <w:b w:val="false"/>
          <w:b w:val="false"/>
          <w:bCs w:val="false"/>
        </w:rPr>
      </w:pPr>
      <w:r>
        <w:rPr>
          <w:b w:val="false"/>
          <w:bCs w:val="false"/>
        </w:rPr>
      </w:r>
    </w:p>
    <w:p>
      <w:pPr>
        <w:pStyle w:val="Title"/>
        <w:bidi w:val="0"/>
        <w:jc w:val="left"/>
        <w:rPr>
          <w:b/>
          <w:b/>
          <w:bCs/>
        </w:rPr>
      </w:pPr>
      <w:r>
        <w:rPr>
          <w:b/>
          <w:bCs/>
        </w:rPr>
        <w:t>PlEpiSeq Bioinformatic Pipelines Documentation</w:t>
      </w:r>
    </w:p>
    <w:p>
      <w:pPr>
        <w:pStyle w:val="TextBody"/>
        <w:bidi w:val="0"/>
        <w:jc w:val="left"/>
        <w:rPr>
          <w:b w:val="false"/>
          <w:b w:val="false"/>
          <w:bCs w:val="false"/>
        </w:rPr>
      </w:pPr>
      <w:r>
        <w:rPr>
          <w:b w:val="false"/>
          <w:bCs w:val="false"/>
        </w:rPr>
      </w:r>
    </w:p>
    <w:p>
      <w:pPr>
        <w:pStyle w:val="TextBody"/>
        <w:bidi w:val="0"/>
        <w:jc w:val="left"/>
        <w:rPr>
          <w:b w:val="false"/>
          <w:b w:val="false"/>
          <w:bCs w:val="false"/>
        </w:rPr>
      </w:pPr>
      <w:r>
        <w:rPr>
          <w:b w:val="false"/>
          <w:bCs w:val="false"/>
        </w:rPr>
        <w:t>The document provides technical documentation for the bioinformatics processing protocols (also known as pipelines) developed in the PlEpiSeq project. These protocols are designed for the automatic analysis of SARS-CoV-2, influenza, and RSV viruses sequenced using Illumina and Nanopore technologies. It covers the architecture, installation and execution procedures, the content of the Nextflow modules, and details of the validation tests.</w:t>
      </w:r>
    </w:p>
    <w:p>
      <w:pPr>
        <w:pStyle w:val="TextBody"/>
        <w:bidi w:val="0"/>
        <w:jc w:val="left"/>
        <w:rPr>
          <w:b w:val="false"/>
          <w:b w:val="false"/>
          <w:bCs w:val="false"/>
        </w:rPr>
      </w:pPr>
      <w:r>
        <w:rPr>
          <w:b w:val="false"/>
          <w:bCs w:val="false"/>
        </w:rPr>
      </w:r>
    </w:p>
    <w:p>
      <w:pPr>
        <w:pStyle w:val="TextBody"/>
        <w:bidi w:val="0"/>
        <w:jc w:val="left"/>
        <w:rPr>
          <w:b w:val="false"/>
          <w:b w:val="false"/>
          <w:bCs w:val="false"/>
        </w:rPr>
      </w:pPr>
      <w:r>
        <w:rPr>
          <w:b w:val="false"/>
          <w:bCs w:val="false"/>
        </w:rPr>
      </w:r>
    </w:p>
    <w:p>
      <w:pPr>
        <w:pStyle w:val="TextBody"/>
        <w:bidi w:val="0"/>
        <w:jc w:val="left"/>
        <w:rPr>
          <w:b w:val="false"/>
          <w:b w:val="false"/>
          <w:bCs w:val="false"/>
        </w:rPr>
      </w:pPr>
      <w:r>
        <w:rPr>
          <w:b w:val="false"/>
          <w:bCs w:val="false"/>
        </w:rPr>
      </w:r>
    </w:p>
    <w:p>
      <w:pPr>
        <w:pStyle w:val="TextBody"/>
        <w:bidi w:val="0"/>
        <w:jc w:val="left"/>
        <w:rPr>
          <w:b w:val="false"/>
          <w:b w:val="false"/>
          <w:bCs w:val="false"/>
        </w:rPr>
      </w:pPr>
      <w:r>
        <w:rPr>
          <w:b w:val="false"/>
          <w:bCs w:val="false"/>
        </w:rPr>
      </w:r>
    </w:p>
    <w:p>
      <w:pPr>
        <w:pStyle w:val="TextBody"/>
        <w:bidi w:val="0"/>
        <w:jc w:val="left"/>
        <w:rPr>
          <w:b w:val="false"/>
          <w:b w:val="false"/>
          <w:bCs w:val="false"/>
        </w:rPr>
      </w:pPr>
      <w:r>
        <w:rPr>
          <w:b w:val="false"/>
          <w:bCs w:val="false"/>
        </w:rPr>
      </w:r>
    </w:p>
    <w:p>
      <w:pPr>
        <w:pStyle w:val="Authors"/>
        <w:bidi w:val="0"/>
        <w:jc w:val="left"/>
        <w:rPr/>
      </w:pPr>
      <w:r>
        <w:rPr/>
        <w:t>Authors</w:t>
      </w:r>
    </w:p>
    <w:p>
      <w:pPr>
        <w:pStyle w:val="Authors"/>
        <w:bidi w:val="0"/>
        <w:jc w:val="left"/>
        <w:rPr/>
      </w:pPr>
      <w:r>
        <w:rPr/>
        <w:t>Michał Kadlof</w:t>
      </w:r>
    </w:p>
    <w:p>
      <w:pPr>
        <w:pStyle w:val="Authors"/>
        <w:bidi w:val="0"/>
        <w:jc w:val="left"/>
        <w:rPr/>
      </w:pPr>
      <w:r>
        <w:rPr/>
        <w:t>Michał Łaźniewski</w:t>
      </w:r>
    </w:p>
    <w:sdt>
      <w:sdtPr>
        <w:docPartObj>
          <w:docPartGallery w:val="Table of Contents"/>
          <w:docPartUnique w:val="true"/>
        </w:docPartObj>
      </w:sdtPr>
      <w:sdtContent>
        <w:p>
          <w:pPr>
            <w:pStyle w:val="ContentsHeading"/>
            <w:rPr/>
          </w:pPr>
          <w:r>
            <w:br w:type="page"/>
          </w:r>
          <w:r>
            <w:rPr/>
            <w:t>Table of Contents</w:t>
          </w:r>
        </w:p>
        <w:p>
          <w:pPr>
            <w:pStyle w:val="Contents1"/>
            <w:rPr/>
          </w:pPr>
          <w:r>
            <w:fldChar w:fldCharType="begin"/>
          </w:r>
          <w:r>
            <w:rPr>
              <w:rStyle w:val="IndexLink"/>
            </w:rPr>
            <w:instrText xml:space="preserve"> TOC \f \o "1-2" \h</w:instrText>
          </w:r>
          <w:r>
            <w:rPr>
              <w:rStyle w:val="IndexLink"/>
            </w:rPr>
            <w:fldChar w:fldCharType="separate"/>
          </w:r>
          <w:hyperlink w:anchor="__RefHeading___Toc110_3077261986">
            <w:r>
              <w:rPr>
                <w:rStyle w:val="IndexLink"/>
              </w:rPr>
              <w:t>Chapter 1. Conventions in this document</w:t>
              <w:tab/>
              <w:t>4</w:t>
            </w:r>
          </w:hyperlink>
        </w:p>
        <w:p>
          <w:pPr>
            <w:pStyle w:val="Contents2"/>
            <w:tabs>
              <w:tab w:val="clear" w:pos="9355"/>
              <w:tab w:val="right" w:pos="9638" w:leader="dot"/>
            </w:tabs>
            <w:rPr/>
          </w:pPr>
          <w:hyperlink w:anchor="__RefHeading___Toc112_3077261986">
            <w:r>
              <w:rPr>
                <w:rStyle w:val="IndexLink"/>
              </w:rPr>
              <w:t>1.1. Paragraphs styles:</w:t>
              <w:tab/>
              <w:t>4</w:t>
            </w:r>
          </w:hyperlink>
        </w:p>
        <w:p>
          <w:pPr>
            <w:pStyle w:val="Contents2"/>
            <w:tabs>
              <w:tab w:val="clear" w:pos="9355"/>
              <w:tab w:val="right" w:pos="9638" w:leader="dot"/>
            </w:tabs>
            <w:rPr/>
          </w:pPr>
          <w:hyperlink w:anchor="__RefHeading___Toc114_3077261986">
            <w:r>
              <w:rPr>
                <w:rStyle w:val="IndexLink"/>
              </w:rPr>
              <w:t>1.2. Character styles:</w:t>
              <w:tab/>
              <w:t>4</w:t>
            </w:r>
          </w:hyperlink>
        </w:p>
        <w:p>
          <w:pPr>
            <w:pStyle w:val="Contents1"/>
            <w:rPr/>
          </w:pPr>
          <w:hyperlink w:anchor="__RefHeading___Toc106_3077261986">
            <w:r>
              <w:rPr>
                <w:rStyle w:val="IndexLink"/>
              </w:rPr>
              <w:t>Chapter 2. Quick start</w:t>
              <w:tab/>
              <w:t>4</w:t>
            </w:r>
          </w:hyperlink>
        </w:p>
        <w:p>
          <w:pPr>
            <w:pStyle w:val="Contents2"/>
            <w:tabs>
              <w:tab w:val="clear" w:pos="9355"/>
              <w:tab w:val="right" w:pos="9638" w:leader="dot"/>
            </w:tabs>
            <w:rPr/>
          </w:pPr>
          <w:hyperlink w:anchor="__RefHeading___Toc116_3077261986">
            <w:r>
              <w:rPr>
                <w:rStyle w:val="IndexLink"/>
              </w:rPr>
              <w:t>2.1. Installation and usage</w:t>
              <w:tab/>
              <w:t>4</w:t>
            </w:r>
          </w:hyperlink>
        </w:p>
        <w:p>
          <w:pPr>
            <w:pStyle w:val="Contents1"/>
            <w:rPr/>
          </w:pPr>
          <w:hyperlink w:anchor="__RefHeading___Toc119_3077261986">
            <w:r>
              <w:rPr>
                <w:rStyle w:val="IndexLink"/>
              </w:rPr>
              <w:t>Chapter 3. Hardware requirements</w:t>
              <w:tab/>
              <w:t>6</w:t>
            </w:r>
          </w:hyperlink>
        </w:p>
        <w:p>
          <w:pPr>
            <w:pStyle w:val="Contents2"/>
            <w:tabs>
              <w:tab w:val="clear" w:pos="9355"/>
              <w:tab w:val="right" w:pos="9638" w:leader="dot"/>
            </w:tabs>
            <w:rPr/>
          </w:pPr>
          <w:hyperlink w:anchor="__RefHeading___Toc121_3077261986">
            <w:r>
              <w:rPr>
                <w:rStyle w:val="IndexLink"/>
              </w:rPr>
              <w:t>3.1. Platform</w:t>
              <w:tab/>
              <w:t>6</w:t>
            </w:r>
          </w:hyperlink>
        </w:p>
        <w:p>
          <w:pPr>
            <w:pStyle w:val="Contents2"/>
            <w:tabs>
              <w:tab w:val="clear" w:pos="9355"/>
              <w:tab w:val="right" w:pos="9638" w:leader="dot"/>
            </w:tabs>
            <w:rPr/>
          </w:pPr>
          <w:hyperlink w:anchor="__RefHeading___Toc123_3077261986">
            <w:r>
              <w:rPr>
                <w:rStyle w:val="IndexLink"/>
              </w:rPr>
              <w:t>3.2. CPU</w:t>
              <w:tab/>
              <w:t>6</w:t>
            </w:r>
          </w:hyperlink>
        </w:p>
        <w:p>
          <w:pPr>
            <w:pStyle w:val="Contents2"/>
            <w:tabs>
              <w:tab w:val="clear" w:pos="9355"/>
              <w:tab w:val="right" w:pos="9638" w:leader="dot"/>
            </w:tabs>
            <w:rPr/>
          </w:pPr>
          <w:hyperlink w:anchor="__RefHeading___Toc125_3077261986">
            <w:r>
              <w:rPr>
                <w:rStyle w:val="IndexLink"/>
              </w:rPr>
              <w:t>3.3. Memory</w:t>
              <w:tab/>
              <w:t>6</w:t>
            </w:r>
          </w:hyperlink>
        </w:p>
        <w:p>
          <w:pPr>
            <w:pStyle w:val="Contents2"/>
            <w:tabs>
              <w:tab w:val="clear" w:pos="9355"/>
              <w:tab w:val="right" w:pos="9638" w:leader="dot"/>
            </w:tabs>
            <w:rPr/>
          </w:pPr>
          <w:hyperlink w:anchor="__RefHeading___Toc127_3077261986">
            <w:r>
              <w:rPr>
                <w:rStyle w:val="IndexLink"/>
              </w:rPr>
              <w:t>3.4. Storage requirements</w:t>
              <w:tab/>
              <w:t>6</w:t>
            </w:r>
          </w:hyperlink>
        </w:p>
        <w:p>
          <w:pPr>
            <w:pStyle w:val="Contents1"/>
            <w:rPr/>
          </w:pPr>
          <w:hyperlink w:anchor="__RefHeading___Toc154_3077261986">
            <w:r>
              <w:rPr>
                <w:rStyle w:val="IndexLink"/>
              </w:rPr>
              <w:t>Chapter 4. Software requirements</w:t>
              <w:tab/>
              <w:t>8</w:t>
            </w:r>
          </w:hyperlink>
        </w:p>
        <w:p>
          <w:pPr>
            <w:pStyle w:val="Contents2"/>
            <w:tabs>
              <w:tab w:val="clear" w:pos="9355"/>
              <w:tab w:val="right" w:pos="9638" w:leader="dot"/>
            </w:tabs>
            <w:rPr/>
          </w:pPr>
          <w:hyperlink w:anchor="__RefHeading___Toc156_3077261986">
            <w:r>
              <w:rPr>
                <w:rStyle w:val="IndexLink"/>
              </w:rPr>
              <w:t>4.1. Compatibility</w:t>
              <w:tab/>
              <w:t>8</w:t>
            </w:r>
          </w:hyperlink>
        </w:p>
        <w:p>
          <w:pPr>
            <w:pStyle w:val="Contents1"/>
            <w:rPr/>
          </w:pPr>
          <w:hyperlink w:anchor="__RefHeading___Toc164_3077261986">
            <w:r>
              <w:rPr>
                <w:rStyle w:val="IndexLink"/>
              </w:rPr>
              <w:t>Chapter 5. Pipeline overview</w:t>
              <w:tab/>
              <w:t>8</w:t>
            </w:r>
          </w:hyperlink>
        </w:p>
        <w:p>
          <w:pPr>
            <w:pStyle w:val="Contents2"/>
            <w:tabs>
              <w:tab w:val="clear" w:pos="9355"/>
              <w:tab w:val="right" w:pos="9638" w:leader="dot"/>
            </w:tabs>
            <w:rPr/>
          </w:pPr>
          <w:hyperlink w:anchor="__RefHeading___Toc166_3077261986">
            <w:r>
              <w:rPr>
                <w:rStyle w:val="IndexLink"/>
              </w:rPr>
              <w:t>5.1. Pipelines as DAGs</w:t>
              <w:tab/>
              <w:t>9</w:t>
            </w:r>
          </w:hyperlink>
        </w:p>
        <w:p>
          <w:pPr>
            <w:pStyle w:val="Contents2"/>
            <w:tabs>
              <w:tab w:val="clear" w:pos="9355"/>
              <w:tab w:val="right" w:pos="9638" w:leader="dot"/>
            </w:tabs>
            <w:rPr/>
          </w:pPr>
          <w:hyperlink w:anchor="__RefHeading___Toc168_3077261986">
            <w:r>
              <w:rPr>
                <w:rStyle w:val="IndexLink"/>
              </w:rPr>
              <w:t>5.2. Flowcharts</w:t>
              <w:tab/>
              <w:t>9</w:t>
            </w:r>
          </w:hyperlink>
        </w:p>
        <w:p>
          <w:pPr>
            <w:pStyle w:val="Contents1"/>
            <w:rPr/>
          </w:pPr>
          <w:hyperlink w:anchor="__RefHeading___Toc137_3077261986">
            <w:r>
              <w:rPr>
                <w:rStyle w:val="IndexLink"/>
              </w:rPr>
              <w:t>Chapter 6. External Databases</w:t>
              <w:tab/>
              <w:t>16</w:t>
            </w:r>
          </w:hyperlink>
        </w:p>
        <w:p>
          <w:pPr>
            <w:pStyle w:val="Contents2"/>
            <w:tabs>
              <w:tab w:val="clear" w:pos="9355"/>
              <w:tab w:val="right" w:pos="9638" w:leader="dot"/>
            </w:tabs>
            <w:rPr/>
          </w:pPr>
          <w:hyperlink w:anchor="__RefHeading___Toc182_3077261986">
            <w:r>
              <w:rPr>
                <w:rStyle w:val="IndexLink"/>
              </w:rPr>
              <w:t>6.1. Updates procedure</w:t>
              <w:tab/>
              <w:t>16</w:t>
            </w:r>
          </w:hyperlink>
        </w:p>
        <w:p>
          <w:pPr>
            <w:pStyle w:val="Contents2"/>
            <w:tabs>
              <w:tab w:val="clear" w:pos="9355"/>
              <w:tab w:val="right" w:pos="9638" w:leader="dot"/>
            </w:tabs>
            <w:rPr/>
          </w:pPr>
          <w:hyperlink w:anchor="__RefHeading___Toc839_1555702251">
            <w:r>
              <w:rPr>
                <w:rStyle w:val="IndexLink"/>
              </w:rPr>
              <w:t>6.2. Updates internals</w:t>
              <w:tab/>
              <w:t>17</w:t>
            </w:r>
          </w:hyperlink>
        </w:p>
        <w:p>
          <w:pPr>
            <w:pStyle w:val="Contents1"/>
            <w:rPr/>
          </w:pPr>
          <w:hyperlink w:anchor="__RefHeading___Toc851_1555702251">
            <w:r>
              <w:rPr>
                <w:rStyle w:val="IndexLink"/>
              </w:rPr>
              <w:t>Chapter 7. Running pipeline</w:t>
              <w:tab/>
              <w:t>20</w:t>
            </w:r>
          </w:hyperlink>
        </w:p>
        <w:p>
          <w:pPr>
            <w:pStyle w:val="Contents2"/>
            <w:tabs>
              <w:tab w:val="clear" w:pos="9355"/>
              <w:tab w:val="right" w:pos="9638" w:leader="dot"/>
            </w:tabs>
            <w:rPr/>
          </w:pPr>
          <w:hyperlink w:anchor="__RefHeading___Toc853_1555702251">
            <w:r>
              <w:rPr>
                <w:rStyle w:val="IndexLink"/>
              </w:rPr>
              <w:t>7.1. Pipeline parameters</w:t>
              <w:tab/>
              <w:t>20</w:t>
            </w:r>
          </w:hyperlink>
        </w:p>
        <w:p>
          <w:pPr>
            <w:pStyle w:val="Contents1"/>
            <w:rPr/>
          </w:pPr>
          <w:hyperlink w:anchor="__RefHeading___Toc864_1555702251">
            <w:r>
              <w:rPr>
                <w:rStyle w:val="IndexLink"/>
              </w:rPr>
              <w:t>Chapter 8. Modules</w:t>
              <w:tab/>
              <w:t>23</w:t>
            </w:r>
          </w:hyperlink>
        </w:p>
        <w:p>
          <w:pPr>
            <w:pStyle w:val="Contents2"/>
            <w:tabs>
              <w:tab w:val="clear" w:pos="9355"/>
              <w:tab w:val="right" w:pos="9638" w:leader="dot"/>
            </w:tabs>
            <w:rPr/>
          </w:pPr>
          <w:hyperlink w:anchor="__RefHeading___Toc2740_900569203">
            <w:r>
              <w:rPr>
                <w:rStyle w:val="IndexLink"/>
              </w:rPr>
              <w:t>8.1. Module alphafold.nf</w:t>
              <w:tab/>
              <w:t>23</w:t>
            </w:r>
          </w:hyperlink>
        </w:p>
        <w:p>
          <w:pPr>
            <w:pStyle w:val="Contents2"/>
            <w:tabs>
              <w:tab w:val="clear" w:pos="9355"/>
              <w:tab w:val="right" w:pos="9638" w:leader="dot"/>
            </w:tabs>
            <w:rPr/>
          </w:pPr>
          <w:hyperlink w:anchor="__RefHeading___Toc2742_900569203">
            <w:r>
              <w:rPr>
                <w:rStyle w:val="IndexLink"/>
              </w:rPr>
              <w:t>8.2. Module bwa.nf</w:t>
              <w:tab/>
              <w:t>23</w:t>
            </w:r>
          </w:hyperlink>
        </w:p>
        <w:p>
          <w:pPr>
            <w:pStyle w:val="Contents2"/>
            <w:tabs>
              <w:tab w:val="clear" w:pos="9355"/>
              <w:tab w:val="right" w:pos="9638" w:leader="dot"/>
            </w:tabs>
            <w:rPr/>
          </w:pPr>
          <w:hyperlink w:anchor="__RefHeading___Toc2744_900569203">
            <w:r>
              <w:rPr>
                <w:rStyle w:val="IndexLink"/>
              </w:rPr>
              <w:t>8.3. Module coinfection_analysis.nf</w:t>
              <w:tab/>
              <w:t>23</w:t>
            </w:r>
          </w:hyperlink>
        </w:p>
        <w:p>
          <w:pPr>
            <w:pStyle w:val="Contents2"/>
            <w:tabs>
              <w:tab w:val="clear" w:pos="9355"/>
              <w:tab w:val="right" w:pos="9638" w:leader="dot"/>
            </w:tabs>
            <w:rPr/>
          </w:pPr>
          <w:hyperlink w:anchor="__RefHeading___Toc2746_900569203">
            <w:r>
              <w:rPr>
                <w:rStyle w:val="IndexLink"/>
              </w:rPr>
              <w:t>8.4. Module coinfection_ivar.nf</w:t>
              <w:tab/>
              <w:t>23</w:t>
            </w:r>
          </w:hyperlink>
        </w:p>
        <w:p>
          <w:pPr>
            <w:pStyle w:val="Contents2"/>
            <w:tabs>
              <w:tab w:val="clear" w:pos="9355"/>
              <w:tab w:val="right" w:pos="9638" w:leader="dot"/>
            </w:tabs>
            <w:rPr/>
          </w:pPr>
          <w:hyperlink w:anchor="__RefHeading___Toc2748_900569203">
            <w:r>
              <w:rPr>
                <w:rStyle w:val="IndexLink"/>
              </w:rPr>
              <w:t>8.5. Module coinfection_varscan.nf</w:t>
              <w:tab/>
              <w:t>23</w:t>
            </w:r>
          </w:hyperlink>
        </w:p>
        <w:p>
          <w:pPr>
            <w:pStyle w:val="Contents2"/>
            <w:tabs>
              <w:tab w:val="clear" w:pos="9355"/>
              <w:tab w:val="right" w:pos="9638" w:leader="dot"/>
            </w:tabs>
            <w:rPr/>
          </w:pPr>
          <w:hyperlink w:anchor="__RefHeading___Toc2750_900569203">
            <w:r>
              <w:rPr>
                <w:rStyle w:val="IndexLink"/>
              </w:rPr>
              <w:t>8.6. Module consensus.nf</w:t>
              <w:tab/>
              <w:t>23</w:t>
            </w:r>
          </w:hyperlink>
        </w:p>
        <w:p>
          <w:pPr>
            <w:pStyle w:val="Contents2"/>
            <w:tabs>
              <w:tab w:val="clear" w:pos="9355"/>
              <w:tab w:val="right" w:pos="9638" w:leader="dot"/>
            </w:tabs>
            <w:rPr/>
          </w:pPr>
          <w:hyperlink w:anchor="__RefHeading___Toc2752_900569203">
            <w:r>
              <w:rPr>
                <w:rStyle w:val="IndexLink"/>
              </w:rPr>
              <w:t>8.7. Module copy_genome_and_primers.nf</w:t>
              <w:tab/>
              <w:t>24</w:t>
            </w:r>
          </w:hyperlink>
        </w:p>
        <w:p>
          <w:pPr>
            <w:pStyle w:val="Contents2"/>
            <w:tabs>
              <w:tab w:val="clear" w:pos="9355"/>
              <w:tab w:val="right" w:pos="9638" w:leader="dot"/>
            </w:tabs>
            <w:rPr/>
          </w:pPr>
          <w:hyperlink w:anchor="__RefHeading___Toc2754_900569203">
            <w:r>
              <w:rPr>
                <w:rStyle w:val="IndexLink"/>
              </w:rPr>
              <w:t>8.8. Module dehumanization.nf</w:t>
              <w:tab/>
              <w:t>24</w:t>
            </w:r>
          </w:hyperlink>
        </w:p>
        <w:p>
          <w:pPr>
            <w:pStyle w:val="Contents2"/>
            <w:tabs>
              <w:tab w:val="clear" w:pos="9355"/>
              <w:tab w:val="right" w:pos="9638" w:leader="dot"/>
            </w:tabs>
            <w:rPr/>
          </w:pPr>
          <w:hyperlink w:anchor="__RefHeading___Toc2756_900569203">
            <w:r>
              <w:rPr>
                <w:rStyle w:val="IndexLink"/>
              </w:rPr>
              <w:t>8.9. Module detect_subtype_nanopore.nf</w:t>
              <w:tab/>
              <w:t>24</w:t>
            </w:r>
          </w:hyperlink>
        </w:p>
        <w:p>
          <w:pPr>
            <w:pStyle w:val="Contents2"/>
            <w:tabs>
              <w:tab w:val="clear" w:pos="9355"/>
              <w:tab w:val="right" w:pos="9638" w:leader="dot"/>
            </w:tabs>
            <w:rPr/>
          </w:pPr>
          <w:hyperlink w:anchor="__RefHeading___Toc2758_900569203">
            <w:r>
              <w:rPr>
                <w:rStyle w:val="IndexLink"/>
              </w:rPr>
              <w:t>8.10. Module detect_subtype.nf</w:t>
              <w:tab/>
              <w:t>24</w:t>
            </w:r>
          </w:hyperlink>
        </w:p>
        <w:p>
          <w:pPr>
            <w:pStyle w:val="Contents2"/>
            <w:tabs>
              <w:tab w:val="clear" w:pos="9355"/>
              <w:tab w:val="right" w:pos="9638" w:leader="dot"/>
            </w:tabs>
            <w:rPr/>
          </w:pPr>
          <w:hyperlink w:anchor="__RefHeading___Toc2760_900569203">
            <w:r>
              <w:rPr>
                <w:rStyle w:val="IndexLink"/>
              </w:rPr>
              <w:t>8.11. Module detect_type.nf</w:t>
              <w:tab/>
              <w:t>25</w:t>
            </w:r>
          </w:hyperlink>
        </w:p>
        <w:p>
          <w:pPr>
            <w:pStyle w:val="Contents2"/>
            <w:tabs>
              <w:tab w:val="clear" w:pos="9355"/>
              <w:tab w:val="right" w:pos="9638" w:leader="dot"/>
            </w:tabs>
            <w:rPr/>
          </w:pPr>
          <w:hyperlink w:anchor="__RefHeading___Toc866_1555702251">
            <w:r>
              <w:rPr>
                <w:rStyle w:val="IndexLink"/>
              </w:rPr>
              <w:t>8.12. Module fastqc.nf</w:t>
              <w:tab/>
              <w:t>26</w:t>
            </w:r>
          </w:hyperlink>
        </w:p>
        <w:p>
          <w:pPr>
            <w:pStyle w:val="Contents2"/>
            <w:tabs>
              <w:tab w:val="clear" w:pos="9355"/>
              <w:tab w:val="right" w:pos="9638" w:leader="dot"/>
            </w:tabs>
            <w:rPr/>
          </w:pPr>
          <w:hyperlink w:anchor="__RefHeading___Toc2762_900569203">
            <w:r>
              <w:rPr>
                <w:rStyle w:val="IndexLink"/>
              </w:rPr>
              <w:t>8.13. Module filtering_multiple_segments.nf</w:t>
              <w:tab/>
              <w:t>28</w:t>
            </w:r>
          </w:hyperlink>
        </w:p>
        <w:p>
          <w:pPr>
            <w:pStyle w:val="Contents2"/>
            <w:tabs>
              <w:tab w:val="clear" w:pos="9355"/>
              <w:tab w:val="right" w:pos="9638" w:leader="dot"/>
            </w:tabs>
            <w:rPr/>
          </w:pPr>
          <w:hyperlink w:anchor="__RefHeading___Toc2764_900569203">
            <w:r>
              <w:rPr>
                <w:rStyle w:val="IndexLink"/>
              </w:rPr>
              <w:t>8.14. Module filtering_one_segment.nf</w:t>
              <w:tab/>
              <w:t>28</w:t>
            </w:r>
          </w:hyperlink>
        </w:p>
        <w:p>
          <w:pPr>
            <w:pStyle w:val="Contents2"/>
            <w:tabs>
              <w:tab w:val="clear" w:pos="9355"/>
              <w:tab w:val="right" w:pos="9638" w:leader="dot"/>
            </w:tabs>
            <w:rPr/>
          </w:pPr>
          <w:hyperlink w:anchor="__RefHeading___Toc2766_900569203">
            <w:r>
              <w:rPr>
                <w:rStyle w:val="IndexLink"/>
              </w:rPr>
              <w:t>8.15. Module filter_out_non_SNPs.nf</w:t>
              <w:tab/>
              <w:t>28</w:t>
            </w:r>
          </w:hyperlink>
        </w:p>
        <w:p>
          <w:pPr>
            <w:pStyle w:val="Contents2"/>
            <w:tabs>
              <w:tab w:val="clear" w:pos="9355"/>
              <w:tab w:val="right" w:pos="9638" w:leader="dot"/>
            </w:tabs>
            <w:rPr/>
          </w:pPr>
          <w:hyperlink w:anchor="__RefHeading___Toc2768_900569203">
            <w:r>
              <w:rPr>
                <w:rStyle w:val="IndexLink"/>
              </w:rPr>
              <w:t>8.16. Module freeBayes.nf</w:t>
              <w:tab/>
              <w:t>28</w:t>
            </w:r>
          </w:hyperlink>
        </w:p>
        <w:p>
          <w:pPr>
            <w:pStyle w:val="Contents2"/>
            <w:tabs>
              <w:tab w:val="clear" w:pos="9355"/>
              <w:tab w:val="right" w:pos="9638" w:leader="dot"/>
            </w:tabs>
            <w:rPr/>
          </w:pPr>
          <w:hyperlink w:anchor="__RefHeading___Toc2770_900569203">
            <w:r>
              <w:rPr>
                <w:rStyle w:val="IndexLink"/>
              </w:rPr>
              <w:t>8.17. Module freyja.nf</w:t>
              <w:tab/>
              <w:t>28</w:t>
            </w:r>
          </w:hyperlink>
        </w:p>
        <w:p>
          <w:pPr>
            <w:pStyle w:val="Contents2"/>
            <w:tabs>
              <w:tab w:val="clear" w:pos="9355"/>
              <w:tab w:val="right" w:pos="9638" w:leader="dot"/>
            </w:tabs>
            <w:rPr/>
          </w:pPr>
          <w:hyperlink w:anchor="__RefHeading___Toc2772_900569203">
            <w:r>
              <w:rPr>
                <w:rStyle w:val="IndexLink"/>
              </w:rPr>
              <w:t>8.18. Module indelQual.nf</w:t>
              <w:tab/>
              <w:t>28</w:t>
            </w:r>
          </w:hyperlink>
        </w:p>
        <w:p>
          <w:pPr>
            <w:pStyle w:val="Contents2"/>
            <w:tabs>
              <w:tab w:val="clear" w:pos="9355"/>
              <w:tab w:val="right" w:pos="9638" w:leader="dot"/>
            </w:tabs>
            <w:rPr/>
          </w:pPr>
          <w:hyperlink w:anchor="__RefHeading___Toc2774_900569203">
            <w:r>
              <w:rPr>
                <w:rStyle w:val="IndexLink"/>
              </w:rPr>
              <w:t>8.19. Module integrate_medaka_and_varscan.nf</w:t>
              <w:tab/>
              <w:t>28</w:t>
            </w:r>
          </w:hyperlink>
        </w:p>
        <w:p>
          <w:pPr>
            <w:pStyle w:val="Contents2"/>
            <w:tabs>
              <w:tab w:val="clear" w:pos="9355"/>
              <w:tab w:val="right" w:pos="9638" w:leader="dot"/>
            </w:tabs>
            <w:rPr/>
          </w:pPr>
          <w:hyperlink w:anchor="__RefHeading___Toc2776_900569203">
            <w:r>
              <w:rPr>
                <w:rStyle w:val="IndexLink"/>
              </w:rPr>
              <w:t>8.20. Module json_aggregator.nf</w:t>
              <w:tab/>
              <w:t>28</w:t>
            </w:r>
          </w:hyperlink>
        </w:p>
        <w:p>
          <w:pPr>
            <w:pStyle w:val="Contents2"/>
            <w:tabs>
              <w:tab w:val="clear" w:pos="9355"/>
              <w:tab w:val="right" w:pos="9638" w:leader="dot"/>
            </w:tabs>
            <w:rPr/>
          </w:pPr>
          <w:hyperlink w:anchor="__RefHeading___Toc2778_900569203">
            <w:r>
              <w:rPr>
                <w:rStyle w:val="IndexLink"/>
              </w:rPr>
              <w:t>8.21. Module kraken2.nf</w:t>
              <w:tab/>
              <w:t>28</w:t>
            </w:r>
          </w:hyperlink>
        </w:p>
        <w:p>
          <w:pPr>
            <w:pStyle w:val="Contents2"/>
            <w:tabs>
              <w:tab w:val="clear" w:pos="9355"/>
              <w:tab w:val="right" w:pos="9638" w:leader="dot"/>
            </w:tabs>
            <w:rPr/>
          </w:pPr>
          <w:hyperlink w:anchor="__RefHeading___Toc2786_900569203">
            <w:r>
              <w:rPr>
                <w:rStyle w:val="IndexLink"/>
              </w:rPr>
              <w:t>8.22. Module lofreq.nf</w:t>
              <w:tab/>
              <w:t>29</w:t>
            </w:r>
          </w:hyperlink>
        </w:p>
        <w:p>
          <w:pPr>
            <w:pStyle w:val="Contents2"/>
            <w:tabs>
              <w:tab w:val="clear" w:pos="9355"/>
              <w:tab w:val="right" w:pos="9638" w:leader="dot"/>
            </w:tabs>
            <w:rPr/>
          </w:pPr>
          <w:hyperlink w:anchor="__RefHeading___Toc2788_900569203">
            <w:r>
              <w:rPr>
                <w:rStyle w:val="IndexLink"/>
              </w:rPr>
              <w:t>8.23. Module lowCov.nf</w:t>
              <w:tab/>
              <w:t>29</w:t>
            </w:r>
          </w:hyperlink>
        </w:p>
        <w:p>
          <w:pPr>
            <w:pStyle w:val="Contents2"/>
            <w:tabs>
              <w:tab w:val="clear" w:pos="9355"/>
              <w:tab w:val="right" w:pos="9638" w:leader="dot"/>
            </w:tabs>
            <w:rPr/>
          </w:pPr>
          <w:hyperlink w:anchor="__RefHeading___Toc2790_900569203">
            <w:r>
              <w:rPr>
                <w:rStyle w:val="IndexLink"/>
              </w:rPr>
              <w:t>8.24. Module make_genome_from_vcf.nf</w:t>
              <w:tab/>
              <w:t>29</w:t>
            </w:r>
          </w:hyperlink>
        </w:p>
        <w:p>
          <w:pPr>
            <w:pStyle w:val="Contents2"/>
            <w:tabs>
              <w:tab w:val="clear" w:pos="9355"/>
              <w:tab w:val="right" w:pos="9638" w:leader="dot"/>
            </w:tabs>
            <w:rPr/>
          </w:pPr>
          <w:hyperlink w:anchor="__RefHeading___Toc2792_900569203">
            <w:r>
              <w:rPr>
                <w:rStyle w:val="IndexLink"/>
              </w:rPr>
              <w:t>8.25. Module manta.nf</w:t>
              <w:tab/>
              <w:t>29</w:t>
            </w:r>
          </w:hyperlink>
        </w:p>
        <w:p>
          <w:pPr>
            <w:pStyle w:val="Contents2"/>
            <w:tabs>
              <w:tab w:val="clear" w:pos="9355"/>
              <w:tab w:val="right" w:pos="9638" w:leader="dot"/>
            </w:tabs>
            <w:rPr/>
          </w:pPr>
          <w:hyperlink w:anchor="__RefHeading___Toc2794_900569203">
            <w:r>
              <w:rPr>
                <w:rStyle w:val="IndexLink"/>
              </w:rPr>
              <w:t>8.26. Module masking.nf</w:t>
              <w:tab/>
              <w:t>29</w:t>
            </w:r>
          </w:hyperlink>
        </w:p>
        <w:p>
          <w:pPr>
            <w:pStyle w:val="Contents2"/>
            <w:tabs>
              <w:tab w:val="clear" w:pos="9355"/>
              <w:tab w:val="right" w:pos="9638" w:leader="dot"/>
            </w:tabs>
            <w:rPr/>
          </w:pPr>
          <w:hyperlink w:anchor="__RefHeading___Toc2796_900569203">
            <w:r>
              <w:rPr>
                <w:rStyle w:val="IndexLink"/>
              </w:rPr>
              <w:t>8.27. Module medaka.nf</w:t>
              <w:tab/>
              <w:t>29</w:t>
            </w:r>
          </w:hyperlink>
        </w:p>
        <w:p>
          <w:pPr>
            <w:pStyle w:val="Contents2"/>
            <w:tabs>
              <w:tab w:val="clear" w:pos="9355"/>
              <w:tab w:val="right" w:pos="9638" w:leader="dot"/>
            </w:tabs>
            <w:rPr/>
          </w:pPr>
          <w:hyperlink w:anchor="__RefHeading___Toc2798_900569203">
            <w:r>
              <w:rPr>
                <w:rStyle w:val="IndexLink"/>
              </w:rPr>
              <w:t>8.28. Module merging_nanopore.nf</w:t>
              <w:tab/>
              <w:t>29</w:t>
            </w:r>
          </w:hyperlink>
        </w:p>
        <w:p>
          <w:pPr>
            <w:pStyle w:val="Contents2"/>
            <w:tabs>
              <w:tab w:val="clear" w:pos="9355"/>
              <w:tab w:val="right" w:pos="9638" w:leader="dot"/>
            </w:tabs>
            <w:rPr/>
          </w:pPr>
          <w:hyperlink w:anchor="__RefHeading___Toc2800_900569203">
            <w:r>
              <w:rPr>
                <w:rStyle w:val="IndexLink"/>
              </w:rPr>
              <w:t>8.29. Module merging_one_segment_filtering.nf</w:t>
              <w:tab/>
              <w:t>29</w:t>
            </w:r>
          </w:hyperlink>
        </w:p>
        <w:p>
          <w:pPr>
            <w:pStyle w:val="Contents2"/>
            <w:tabs>
              <w:tab w:val="clear" w:pos="9355"/>
              <w:tab w:val="right" w:pos="9638" w:leader="dot"/>
            </w:tabs>
            <w:rPr/>
          </w:pPr>
          <w:hyperlink w:anchor="__RefHeading___Toc2802_900569203">
            <w:r>
              <w:rPr>
                <w:rStyle w:val="IndexLink"/>
              </w:rPr>
              <w:t>8.30. Module minimap2.nf</w:t>
              <w:tab/>
              <w:t>29</w:t>
            </w:r>
          </w:hyperlink>
        </w:p>
        <w:p>
          <w:pPr>
            <w:pStyle w:val="Contents2"/>
            <w:tabs>
              <w:tab w:val="clear" w:pos="9355"/>
              <w:tab w:val="right" w:pos="9638" w:leader="dot"/>
            </w:tabs>
            <w:rPr/>
          </w:pPr>
          <w:hyperlink w:anchor="__RefHeading___Toc2804_900569203">
            <w:r>
              <w:rPr>
                <w:rStyle w:val="IndexLink"/>
              </w:rPr>
              <w:t>8.31. Module nextalign.nf</w:t>
              <w:tab/>
              <w:t>29</w:t>
            </w:r>
          </w:hyperlink>
        </w:p>
        <w:p>
          <w:pPr>
            <w:pStyle w:val="Contents2"/>
            <w:tabs>
              <w:tab w:val="clear" w:pos="9355"/>
              <w:tab w:val="right" w:pos="9638" w:leader="dot"/>
            </w:tabs>
            <w:rPr/>
          </w:pPr>
          <w:hyperlink w:anchor="__RefHeading___Toc2806_900569203">
            <w:r>
              <w:rPr>
                <w:rStyle w:val="IndexLink"/>
              </w:rPr>
              <w:t>8.32. Module nextclade.nf</w:t>
              <w:tab/>
              <w:t>29</w:t>
            </w:r>
          </w:hyperlink>
        </w:p>
        <w:p>
          <w:pPr>
            <w:pStyle w:val="Contents2"/>
            <w:tabs>
              <w:tab w:val="clear" w:pos="9355"/>
              <w:tab w:val="right" w:pos="9638" w:leader="dot"/>
            </w:tabs>
            <w:rPr/>
          </w:pPr>
          <w:hyperlink w:anchor="__RefHeading___Toc2808_900569203">
            <w:r>
              <w:rPr>
                <w:rStyle w:val="IndexLink"/>
              </w:rPr>
              <w:t>8.33. Module pangolin.nf</w:t>
              <w:tab/>
              <w:t>29</w:t>
            </w:r>
          </w:hyperlink>
        </w:p>
        <w:p>
          <w:pPr>
            <w:pStyle w:val="Contents2"/>
            <w:tabs>
              <w:tab w:val="clear" w:pos="9355"/>
              <w:tab w:val="right" w:pos="9638" w:leader="dot"/>
            </w:tabs>
            <w:rPr/>
          </w:pPr>
          <w:hyperlink w:anchor="__RefHeading___Toc2810_900569203">
            <w:r>
              <w:rPr>
                <w:rStyle w:val="IndexLink"/>
              </w:rPr>
              <w:t>8.34. Module picard.nf</w:t>
              <w:tab/>
              <w:t>29</w:t>
            </w:r>
          </w:hyperlink>
        </w:p>
        <w:p>
          <w:pPr>
            <w:pStyle w:val="Contents2"/>
            <w:tabs>
              <w:tab w:val="clear" w:pos="9355"/>
              <w:tab w:val="right" w:pos="9638" w:leader="dot"/>
            </w:tabs>
            <w:rPr/>
          </w:pPr>
          <w:hyperlink w:anchor="__RefHeading___Toc2812_900569203">
            <w:r>
              <w:rPr>
                <w:rStyle w:val="IndexLink"/>
              </w:rPr>
              <w:t>8.35. Module picard_wgsMetrics.nf</w:t>
              <w:tab/>
              <w:t>29</w:t>
            </w:r>
          </w:hyperlink>
        </w:p>
        <w:p>
          <w:pPr>
            <w:pStyle w:val="Contents2"/>
            <w:tabs>
              <w:tab w:val="clear" w:pos="9355"/>
              <w:tab w:val="right" w:pos="9638" w:leader="dot"/>
            </w:tabs>
            <w:rPr/>
          </w:pPr>
          <w:hyperlink w:anchor="__RefHeading___Toc2814_900569203">
            <w:r>
              <w:rPr>
                <w:rStyle w:val="IndexLink"/>
              </w:rPr>
              <w:t>8.36. Module reassortment.nf</w:t>
              <w:tab/>
              <w:t>29</w:t>
            </w:r>
          </w:hyperlink>
        </w:p>
        <w:p>
          <w:pPr>
            <w:pStyle w:val="Contents2"/>
            <w:tabs>
              <w:tab w:val="clear" w:pos="9355"/>
              <w:tab w:val="right" w:pos="9638" w:leader="dot"/>
            </w:tabs>
            <w:rPr/>
          </w:pPr>
          <w:hyperlink w:anchor="__RefHeading___Toc2816_900569203">
            <w:r>
              <w:rPr>
                <w:rStyle w:val="IndexLink"/>
              </w:rPr>
              <w:t>8.37. Module resistance.nf</w:t>
              <w:tab/>
              <w:t>29</w:t>
            </w:r>
          </w:hyperlink>
        </w:p>
        <w:p>
          <w:pPr>
            <w:pStyle w:val="Contents2"/>
            <w:tabs>
              <w:tab w:val="clear" w:pos="9355"/>
              <w:tab w:val="right" w:pos="9638" w:leader="dot"/>
            </w:tabs>
            <w:rPr/>
          </w:pPr>
          <w:hyperlink w:anchor="__RefHeading___Toc2818_900569203">
            <w:r>
              <w:rPr>
                <w:rStyle w:val="IndexLink"/>
              </w:rPr>
              <w:t>8.38. Module snpEff.nf</w:t>
              <w:tab/>
              <w:t>29</w:t>
            </w:r>
          </w:hyperlink>
        </w:p>
        <w:p>
          <w:pPr>
            <w:pStyle w:val="Contents2"/>
            <w:tabs>
              <w:tab w:val="clear" w:pos="9355"/>
              <w:tab w:val="right" w:pos="9638" w:leader="dot"/>
            </w:tabs>
            <w:rPr/>
          </w:pPr>
          <w:hyperlink w:anchor="__RefHeading___Toc2820_900569203">
            <w:r>
              <w:rPr>
                <w:rStyle w:val="IndexLink"/>
              </w:rPr>
              <w:t>8.39. Module sort_and_index.nf</w:t>
              <w:tab/>
              <w:t>29</w:t>
            </w:r>
          </w:hyperlink>
        </w:p>
        <w:p>
          <w:pPr>
            <w:pStyle w:val="Contents2"/>
            <w:tabs>
              <w:tab w:val="clear" w:pos="9355"/>
              <w:tab w:val="right" w:pos="9638" w:leader="dot"/>
            </w:tabs>
            <w:rPr/>
          </w:pPr>
          <w:hyperlink w:anchor="__RefHeading___Toc2822_900569203">
            <w:r>
              <w:rPr>
                <w:rStyle w:val="IndexLink"/>
              </w:rPr>
              <w:t>8.40. Module substitute_ref.nf</w:t>
              <w:tab/>
              <w:t>29</w:t>
            </w:r>
          </w:hyperlink>
        </w:p>
        <w:p>
          <w:pPr>
            <w:pStyle w:val="Contents2"/>
            <w:tabs>
              <w:tab w:val="clear" w:pos="9355"/>
              <w:tab w:val="right" w:pos="9638" w:leader="dot"/>
            </w:tabs>
            <w:rPr/>
          </w:pPr>
          <w:hyperlink w:anchor="__RefHeading___Toc2824_900569203">
            <w:r>
              <w:rPr>
                <w:rStyle w:val="IndexLink"/>
              </w:rPr>
              <w:t>8.41. Module trimmomatic.nf</w:t>
              <w:tab/>
              <w:t>30</w:t>
            </w:r>
          </w:hyperlink>
        </w:p>
        <w:p>
          <w:pPr>
            <w:pStyle w:val="Contents2"/>
            <w:tabs>
              <w:tab w:val="clear" w:pos="9355"/>
              <w:tab w:val="right" w:pos="9638" w:leader="dot"/>
            </w:tabs>
            <w:rPr/>
          </w:pPr>
          <w:hyperlink w:anchor="__RefHeading___Toc2826_900569203">
            <w:r>
              <w:rPr>
                <w:rStyle w:val="IndexLink"/>
              </w:rPr>
              <w:t>8.42. Module varscan.nf</w:t>
              <w:tab/>
              <w:t>31</w:t>
            </w:r>
          </w:hyperlink>
        </w:p>
        <w:p>
          <w:pPr>
            <w:pStyle w:val="Contents2"/>
            <w:tabs>
              <w:tab w:val="clear" w:pos="9355"/>
              <w:tab w:val="right" w:pos="9638" w:leader="dot"/>
            </w:tabs>
            <w:rPr/>
          </w:pPr>
          <w:hyperlink w:anchor="__RefHeading___Toc2828_900569203">
            <w:r>
              <w:rPr>
                <w:rStyle w:val="IndexLink"/>
              </w:rPr>
              <w:t>8.43. Module vcf_for_fasta.nf</w:t>
              <w:tab/>
              <w:t>31</w:t>
            </w:r>
          </w:hyperlink>
        </w:p>
        <w:p>
          <w:pPr>
            <w:pStyle w:val="Contents1"/>
            <w:rPr/>
          </w:pPr>
          <w:hyperlink w:anchor="__RefHeading___Toc2830_900569203">
            <w:r>
              <w:rPr>
                <w:rStyle w:val="IndexLink"/>
              </w:rPr>
              <w:t>Chapter 9. JSON output</w:t>
              <w:tab/>
              <w:t>32</w:t>
            </w:r>
          </w:hyperlink>
          <w:r>
            <w:rPr>
              <w:rStyle w:val="IndexLink"/>
            </w:rPr>
            <w:fldChar w:fldCharType="end"/>
          </w:r>
        </w:p>
      </w:sdtContent>
    </w:sdt>
    <w:p>
      <w:pPr>
        <w:pStyle w:val="Authors"/>
        <w:bidi w:val="0"/>
        <w:jc w:val="left"/>
        <w:rPr/>
      </w:pPr>
      <w:r>
        <w:rPr/>
      </w:r>
      <w:r>
        <w:br w:type="page"/>
      </w:r>
    </w:p>
    <w:p>
      <w:pPr>
        <w:pStyle w:val="Heading1"/>
        <w:bidi w:val="0"/>
        <w:jc w:val="left"/>
        <w:rPr/>
      </w:pPr>
      <w:bookmarkStart w:id="0" w:name="__RefHeading___Toc110_3077261986"/>
      <w:bookmarkEnd w:id="0"/>
      <w:r>
        <w:rPr/>
        <w:t>Conventions in this document</w:t>
      </w:r>
    </w:p>
    <w:p>
      <w:pPr>
        <w:pStyle w:val="TextBody"/>
        <w:bidi w:val="0"/>
        <w:jc w:val="left"/>
        <w:rPr/>
      </w:pPr>
      <w:r>
        <w:rPr/>
        <w:t>Following styles names are used in this document:</w:t>
      </w:r>
    </w:p>
    <w:p>
      <w:pPr>
        <w:pStyle w:val="Heading2"/>
        <w:bidi w:val="0"/>
        <w:jc w:val="left"/>
        <w:rPr/>
      </w:pPr>
      <w:bookmarkStart w:id="1" w:name="__RefHeading___Toc112_3077261986"/>
      <w:bookmarkEnd w:id="1"/>
      <w:r>
        <w:rPr/>
        <w:t>Paragraphs styles:</w:t>
      </w:r>
    </w:p>
    <w:p>
      <w:pPr>
        <w:pStyle w:val="TextBody"/>
        <w:bidi w:val="0"/>
        <w:jc w:val="left"/>
        <w:rPr/>
      </w:pPr>
      <w:r>
        <w:rPr/>
        <w:t>Normal paragraphs are written with Text Body</w:t>
      </w:r>
    </w:p>
    <w:p>
      <w:pPr>
        <w:pStyle w:val="Codebox"/>
        <w:shd w:val="clear" w:fill="EEEEEE"/>
        <w:bidi w:val="0"/>
        <w:spacing w:before="57" w:after="57"/>
        <w:jc w:val="left"/>
        <w:rPr/>
      </w:pPr>
      <w:r>
        <w:rPr/>
        <w:t>Code is presented in Code Box</w:t>
      </w:r>
    </w:p>
    <w:p>
      <w:pPr>
        <w:pStyle w:val="Heading2"/>
        <w:bidi w:val="0"/>
        <w:jc w:val="left"/>
        <w:rPr/>
      </w:pPr>
      <w:bookmarkStart w:id="2" w:name="__RefHeading___Toc114_3077261986"/>
      <w:bookmarkEnd w:id="2"/>
      <w:r>
        <w:rPr/>
        <w:t>Character styles:</w:t>
      </w:r>
    </w:p>
    <w:p>
      <w:pPr>
        <w:pStyle w:val="TextBody"/>
        <w:bidi w:val="0"/>
        <w:jc w:val="left"/>
        <w:rPr/>
      </w:pPr>
      <w:r>
        <w:rPr/>
        <w:t xml:space="preserve">Paths are denoted like here </w:t>
      </w:r>
      <w:r>
        <w:rPr>
          <w:rStyle w:val="Path"/>
        </w:rPr>
        <w:t xml:space="preserve">/usr/bin/bash </w:t>
      </w:r>
      <w:r>
        <w:rPr/>
        <w:t>with path style</w:t>
      </w:r>
    </w:p>
    <w:p>
      <w:pPr>
        <w:pStyle w:val="TextBody"/>
        <w:bidi w:val="0"/>
        <w:jc w:val="left"/>
        <w:rPr/>
      </w:pPr>
      <w:r>
        <w:rPr/>
        <w:t xml:space="preserve">Inline Code is inserted with code character style like this, </w:t>
      </w:r>
      <w:r>
        <w:rPr>
          <w:rStyle w:val="Code"/>
        </w:rPr>
        <w:t>--no-cache</w:t>
      </w:r>
      <w:r>
        <w:rPr/>
        <w:t xml:space="preserve"> and it's pretty nice.</w:t>
      </w:r>
    </w:p>
    <w:p>
      <w:pPr>
        <w:pStyle w:val="Heading1"/>
        <w:bidi w:val="0"/>
        <w:jc w:val="left"/>
        <w:rPr/>
      </w:pPr>
      <w:bookmarkStart w:id="3" w:name="__RefHeading___Toc106_3077261986"/>
      <w:bookmarkEnd w:id="3"/>
      <w:r>
        <w:rPr/>
        <w:t>Quick start</w:t>
      </w:r>
    </w:p>
    <w:p>
      <w:pPr>
        <w:pStyle w:val="Heading2"/>
        <w:bidi w:val="0"/>
        <w:jc w:val="left"/>
        <w:rPr/>
      </w:pPr>
      <w:bookmarkStart w:id="4" w:name="__RefHeading___Toc116_3077261986"/>
      <w:bookmarkEnd w:id="4"/>
      <w:r>
        <w:rPr/>
        <w:t>Installation and usage</w:t>
      </w:r>
    </w:p>
    <w:p>
      <w:pPr>
        <w:pStyle w:val="ListBullet3"/>
        <w:numPr>
          <w:ilvl w:val="0"/>
          <w:numId w:val="2"/>
        </w:numPr>
        <w:bidi w:val="0"/>
        <w:ind w:left="720" w:right="0" w:hanging="360"/>
        <w:jc w:val="left"/>
        <w:rPr/>
      </w:pPr>
      <w:r>
        <w:rPr/>
        <w:t>Install Docker (</w:t>
      </w:r>
      <w:hyperlink r:id="rId3">
        <w:r>
          <w:rPr>
            <w:rStyle w:val="InternetLink"/>
          </w:rPr>
          <w:t>https://docs.docker.com/desktop/install/linux-install/</w:t>
        </w:r>
      </w:hyperlink>
      <w:r>
        <w:rPr/>
        <w:t>)</w:t>
      </w:r>
    </w:p>
    <w:p>
      <w:pPr>
        <w:pStyle w:val="ListBullet3"/>
        <w:numPr>
          <w:ilvl w:val="0"/>
          <w:numId w:val="2"/>
        </w:numPr>
        <w:bidi w:val="0"/>
        <w:ind w:left="720" w:right="0" w:hanging="360"/>
        <w:jc w:val="left"/>
        <w:rPr/>
      </w:pPr>
      <w:r>
        <w:rPr/>
        <w:t>Install NextFlow</w:t>
      </w:r>
    </w:p>
    <w:p>
      <w:pPr>
        <w:pStyle w:val="Codebox"/>
        <w:bidi w:val="0"/>
        <w:ind w:left="720" w:right="0" w:hanging="0"/>
        <w:jc w:val="left"/>
        <w:rPr/>
      </w:pPr>
      <w:r>
        <w:rPr/>
        <w:t>curl -s https://get.nextflow.io | bash</w:t>
      </w:r>
    </w:p>
    <w:p>
      <w:pPr>
        <w:pStyle w:val="ListBullet3"/>
        <w:numPr>
          <w:ilvl w:val="0"/>
          <w:numId w:val="2"/>
        </w:numPr>
        <w:bidi w:val="0"/>
        <w:ind w:left="720" w:right="0" w:hanging="360"/>
        <w:jc w:val="left"/>
        <w:rPr/>
      </w:pPr>
      <w:r>
        <w:rPr/>
        <w:t>Put the Nextflow binary in the PATH. E.g.:</w:t>
      </w:r>
    </w:p>
    <w:p>
      <w:pPr>
        <w:pStyle w:val="Codebox"/>
        <w:bidi w:val="0"/>
        <w:ind w:left="720" w:right="0" w:hanging="0"/>
        <w:jc w:val="left"/>
        <w:rPr/>
      </w:pPr>
      <w:r>
        <w:rPr/>
        <w:t>sudo mv nextflow /usr/local/bin</w:t>
      </w:r>
    </w:p>
    <w:p>
      <w:pPr>
        <w:pStyle w:val="ListBullet3"/>
        <w:numPr>
          <w:ilvl w:val="0"/>
          <w:numId w:val="2"/>
        </w:numPr>
        <w:bidi w:val="0"/>
        <w:ind w:left="720" w:right="0" w:hanging="360"/>
        <w:jc w:val="left"/>
        <w:rPr/>
      </w:pPr>
      <w:r>
        <w:rPr/>
        <w:t>Clone the repository:</w:t>
      </w:r>
    </w:p>
    <w:p>
      <w:pPr>
        <w:pStyle w:val="Codebox"/>
        <w:bidi w:val="0"/>
        <w:ind w:left="720" w:right="0" w:hanging="0"/>
        <w:jc w:val="left"/>
        <w:rPr/>
      </w:pPr>
      <w:r>
        <w:rPr/>
        <w:t>git clone --depth 1 https://github.com/mkadlof/pzh_pipeline_viral</w:t>
      </w:r>
    </w:p>
    <w:p>
      <w:pPr>
        <w:pStyle w:val="ListBullet3"/>
        <w:numPr>
          <w:ilvl w:val="0"/>
          <w:numId w:val="2"/>
        </w:numPr>
        <w:bidi w:val="0"/>
        <w:ind w:left="720" w:right="0" w:hanging="360"/>
        <w:jc w:val="left"/>
        <w:rPr/>
      </w:pPr>
      <w:r>
        <w:rPr/>
        <w:t>Enter downloaded repository:</w:t>
      </w:r>
    </w:p>
    <w:p>
      <w:pPr>
        <w:pStyle w:val="Codebox"/>
        <w:bidi w:val="0"/>
        <w:ind w:left="720" w:right="0" w:hanging="0"/>
        <w:jc w:val="left"/>
        <w:rPr/>
      </w:pPr>
      <w:r>
        <w:rPr/>
        <w:t>cd pzh_pipeline_viral</w:t>
      </w:r>
    </w:p>
    <w:p>
      <w:pPr>
        <w:pStyle w:val="ListBullet3"/>
        <w:numPr>
          <w:ilvl w:val="0"/>
          <w:numId w:val="2"/>
        </w:numPr>
        <w:bidi w:val="0"/>
        <w:ind w:left="720" w:right="0" w:hanging="360"/>
        <w:jc w:val="left"/>
        <w:rPr/>
      </w:pPr>
      <w:r>
        <w:rPr/>
        <w:t xml:space="preserve">Copy </w:t>
      </w:r>
      <w:r>
        <w:rPr>
          <w:rStyle w:val="Path"/>
        </w:rPr>
        <w:t>third-party/modeller/config.py.template</w:t>
      </w:r>
      <w:r>
        <w:rPr/>
        <w:t xml:space="preserve"> to t</w:t>
      </w:r>
      <w:r>
        <w:rPr>
          <w:rStyle w:val="Path"/>
        </w:rPr>
        <w:t>hird-party/modeller/config.py</w:t>
      </w:r>
      <w:r>
        <w:rPr/>
        <w:t xml:space="preserve"> and replace the line</w:t>
      </w:r>
    </w:p>
    <w:p>
      <w:pPr>
        <w:pStyle w:val="Codebox"/>
        <w:bidi w:val="0"/>
        <w:ind w:left="720" w:right="0" w:hanging="0"/>
        <w:jc w:val="left"/>
        <w:rPr/>
      </w:pPr>
      <w:r>
        <w:rPr/>
        <w:t>license = 'YOUR_MODELLER_KEY'</w:t>
      </w:r>
    </w:p>
    <w:p>
      <w:pPr>
        <w:pStyle w:val="ListBullet3"/>
        <w:bidi w:val="0"/>
        <w:ind w:left="720" w:right="0" w:hanging="0"/>
        <w:jc w:val="left"/>
        <w:rPr/>
      </w:pPr>
      <w:r>
        <w:rPr/>
        <w:t xml:space="preserve">with the actual Modeller key you own. If you don't have one, you can get a free academic license here </w:t>
      </w:r>
      <w:hyperlink r:id="rId4">
        <w:r>
          <w:rPr>
            <w:rStyle w:val="InternetLink"/>
          </w:rPr>
          <w:t>https://salilab.org/modeller/registration.html</w:t>
        </w:r>
      </w:hyperlink>
      <w:r>
        <w:rPr/>
        <w:t>.</w:t>
      </w:r>
    </w:p>
    <w:p>
      <w:pPr>
        <w:pStyle w:val="ListBullet3"/>
        <w:numPr>
          <w:ilvl w:val="0"/>
          <w:numId w:val="2"/>
        </w:numPr>
        <w:bidi w:val="0"/>
        <w:ind w:left="720" w:right="0" w:hanging="360"/>
        <w:jc w:val="left"/>
        <w:rPr/>
      </w:pPr>
      <w:r>
        <w:rPr/>
        <w:t>Build three containers:</w:t>
      </w:r>
    </w:p>
    <w:p>
      <w:pPr>
        <w:pStyle w:val="Codebox"/>
        <w:bidi w:val="0"/>
        <w:ind w:left="720" w:right="0" w:hanging="0"/>
        <w:jc w:val="left"/>
        <w:rPr/>
      </w:pPr>
      <w:r>
        <w:rPr/>
        <w:t>docker build --target main -f Dockerfile-main -t pzh_pipeline_viral-4.1-main .</w:t>
      </w:r>
    </w:p>
    <w:p>
      <w:pPr>
        <w:pStyle w:val="Codebox"/>
        <w:bidi w:val="0"/>
        <w:ind w:left="720" w:right="0" w:hanging="0"/>
        <w:jc w:val="left"/>
        <w:rPr/>
      </w:pPr>
      <w:r>
        <w:rPr/>
        <w:t>docker build --target manta -f Dockerfile-manta -t pzh_pipeline_viral-4.1-manta .</w:t>
      </w:r>
    </w:p>
    <w:p>
      <w:pPr>
        <w:pStyle w:val="Codebox"/>
        <w:bidi w:val="0"/>
        <w:ind w:left="720" w:right="0" w:hanging="0"/>
        <w:jc w:val="left"/>
        <w:rPr/>
      </w:pPr>
      <w:r>
        <w:rPr/>
        <w:t>docker build --target updater -f Dockerfile-main -t nf_illumina_sars-4.1-updater .</w:t>
      </w:r>
    </w:p>
    <w:p>
      <w:pPr>
        <w:pStyle w:val="Tip"/>
        <w:bidi w:val="0"/>
        <w:ind w:left="1080" w:right="0" w:hanging="0"/>
        <w:jc w:val="left"/>
        <w:rPr/>
      </w:pPr>
      <w:r>
        <w:rPr/>
        <w:t xml:space="preserve">You may add </w:t>
      </w:r>
      <w:r>
        <w:rPr>
          <w:rStyle w:val="Code"/>
        </w:rPr>
        <w:t>--no-cache</w:t>
      </w:r>
      <w:r>
        <w:rPr/>
        <w:t xml:space="preserve"> flag to avoid caching effects.</w:t>
      </w:r>
    </w:p>
    <w:p>
      <w:pPr>
        <w:pStyle w:val="Normal"/>
        <w:bidi w:val="0"/>
        <w:ind w:left="1080" w:right="0" w:hanging="0"/>
        <w:jc w:val="left"/>
        <w:rPr/>
      </w:pPr>
      <w:r>
        <w:rPr/>
      </w:r>
    </w:p>
    <w:p>
      <w:pPr>
        <w:pStyle w:val="Tip"/>
        <w:bidi w:val="0"/>
        <w:ind w:left="1080" w:right="0" w:hanging="0"/>
        <w:jc w:val="left"/>
        <w:rPr/>
      </w:pPr>
      <w:r>
        <w:rPr/>
        <w:t xml:space="preserve">If you encounter a certificate verify failed error during the build process, it may be due to being on a corporate network that injects its own certificate. In this case, add the following flag to the build command, where you can pass the certificate provided by your administrator into the container. </w:t>
      </w:r>
      <w:r>
        <w:rPr>
          <w:rStyle w:val="Code"/>
        </w:rPr>
        <w:t>--build-arg CERT_FILE="$(cat corporate-certificate.crt)"</w:t>
      </w:r>
    </w:p>
    <w:p>
      <w:pPr>
        <w:pStyle w:val="ListBullet3"/>
        <w:numPr>
          <w:ilvl w:val="0"/>
          <w:numId w:val="2"/>
        </w:numPr>
        <w:bidi w:val="0"/>
        <w:ind w:left="720" w:right="0" w:hanging="360"/>
        <w:jc w:val="left"/>
        <w:rPr/>
      </w:pPr>
      <w:r>
        <w:rPr/>
        <w:t>Download latest version of external databases. In project root dir run:</w:t>
      </w:r>
    </w:p>
    <w:p>
      <w:pPr>
        <w:pStyle w:val="Codebox"/>
        <w:bidi w:val="0"/>
        <w:ind w:left="720" w:right="0" w:hanging="0"/>
        <w:jc w:val="left"/>
        <w:rPr/>
      </w:pPr>
      <w:r>
        <w:rPr/>
        <w:t>./update_external_databases.sh --database pangolin --output-path</w:t>
      </w:r>
    </w:p>
    <w:p>
      <w:pPr>
        <w:pStyle w:val="Codebox"/>
        <w:bidi w:val="0"/>
        <w:ind w:left="720" w:right="0" w:hanging="0"/>
        <w:jc w:val="left"/>
        <w:rPr/>
      </w:pPr>
      <w:r>
        <w:rPr/>
        <w:t>/path/to/external_databases</w:t>
      </w:r>
    </w:p>
    <w:p>
      <w:pPr>
        <w:pStyle w:val="Codebox"/>
        <w:bidi w:val="0"/>
        <w:ind w:left="720" w:right="0" w:hanging="0"/>
        <w:jc w:val="left"/>
        <w:rPr/>
      </w:pPr>
      <w:r>
        <w:rPr/>
        <w:t>./update_external_databases.sh --database nextclade --output-path</w:t>
      </w:r>
    </w:p>
    <w:p>
      <w:pPr>
        <w:pStyle w:val="Codebox"/>
        <w:bidi w:val="0"/>
        <w:ind w:left="720" w:right="0" w:hanging="0"/>
        <w:jc w:val="left"/>
        <w:rPr/>
      </w:pPr>
      <w:r>
        <w:rPr/>
        <w:t>/path/to/external_databases</w:t>
      </w:r>
    </w:p>
    <w:p>
      <w:pPr>
        <w:pStyle w:val="Codebox"/>
        <w:bidi w:val="0"/>
        <w:ind w:left="720" w:right="0" w:hanging="0"/>
        <w:jc w:val="left"/>
        <w:rPr/>
      </w:pPr>
      <w:r>
        <w:rPr/>
        <w:t>./update_external_databases.sh --database kraken2 --output-path</w:t>
      </w:r>
    </w:p>
    <w:p>
      <w:pPr>
        <w:pStyle w:val="Codebox"/>
        <w:bidi w:val="0"/>
        <w:ind w:left="720" w:right="0" w:hanging="0"/>
        <w:jc w:val="left"/>
        <w:rPr/>
      </w:pPr>
      <w:r>
        <w:rPr/>
        <w:t>/path/to/external_databases --kraken-type standard_08gb</w:t>
      </w:r>
    </w:p>
    <w:p>
      <w:pPr>
        <w:pStyle w:val="Codebox"/>
        <w:bidi w:val="0"/>
        <w:ind w:left="720" w:right="0" w:hanging="0"/>
        <w:jc w:val="left"/>
        <w:rPr/>
      </w:pPr>
      <w:r>
        <w:rPr/>
        <w:t>./update_external_databases.sh --database freyja --output-path</w:t>
      </w:r>
    </w:p>
    <w:p>
      <w:pPr>
        <w:pStyle w:val="Codebox"/>
        <w:bidi w:val="0"/>
        <w:ind w:left="720" w:right="0" w:hanging="0"/>
        <w:jc w:val="left"/>
        <w:rPr/>
      </w:pPr>
      <w:r>
        <w:rPr/>
        <w:t>/path/to/external_databases</w:t>
      </w:r>
    </w:p>
    <w:p>
      <w:pPr>
        <w:pStyle w:val="Info"/>
        <w:bidi w:val="0"/>
        <w:ind w:left="1080" w:right="0" w:hanging="0"/>
        <w:jc w:val="left"/>
        <w:rPr/>
      </w:pPr>
      <w:r>
        <w:rPr/>
        <w:t>kraken2 require providing database name: One of following: "standard" "standard_08gb" "standard_16gb" "viral" "minusb" "pluspf" "pluspf_08gb" "pluspf_16gb" "pluspfp" "pluspfp_08gb" "pluspfp_16gb" "nt" "eupathdb48"</w:t>
      </w:r>
    </w:p>
    <w:p>
      <w:pPr>
        <w:pStyle w:val="ListBullet3"/>
        <w:numPr>
          <w:ilvl w:val="0"/>
          <w:numId w:val="2"/>
        </w:numPr>
        <w:bidi w:val="0"/>
        <w:ind w:left="720" w:right="0" w:hanging="360"/>
        <w:jc w:val="left"/>
        <w:rPr/>
      </w:pPr>
      <w:r>
        <w:rPr/>
        <w:t>For more details read the chapter External databases updates (</w:t>
      </w:r>
      <w:hyperlink w:anchor="_toc343">
        <w:r>
          <w:rPr>
            <w:rStyle w:val="InternetLink"/>
          </w:rPr>
          <w:t>External databases updates</w:t>
        </w:r>
      </w:hyperlink>
      <w:r>
        <w:rPr/>
        <w:t>).</w:t>
      </w:r>
    </w:p>
    <w:p>
      <w:pPr>
        <w:pStyle w:val="ListBullet3"/>
        <w:numPr>
          <w:ilvl w:val="0"/>
          <w:numId w:val="2"/>
        </w:numPr>
        <w:bidi w:val="0"/>
        <w:ind w:left="720" w:right="0" w:hanging="360"/>
        <w:jc w:val="left"/>
        <w:rPr/>
      </w:pPr>
      <w:r>
        <w:rPr/>
        <w:t xml:space="preserve">Copy </w:t>
      </w:r>
      <w:r>
        <w:rPr>
          <w:rStyle w:val="Path"/>
        </w:rPr>
        <w:t>run_nf_pipeline.sh.template</w:t>
      </w:r>
      <w:r>
        <w:rPr/>
        <w:t xml:space="preserve"> to </w:t>
      </w:r>
      <w:r>
        <w:rPr>
          <w:rStyle w:val="Path"/>
        </w:rPr>
        <w:t>run_nf_pipeline.sh</w:t>
      </w:r>
      <w:r>
        <w:rPr/>
        <w:t xml:space="preserve"> and fill in the paths to the reads and output directory.</w:t>
      </w:r>
    </w:p>
    <w:p>
      <w:pPr>
        <w:pStyle w:val="ListBullet3"/>
        <w:numPr>
          <w:ilvl w:val="0"/>
          <w:numId w:val="2"/>
        </w:numPr>
        <w:bidi w:val="0"/>
        <w:ind w:left="720" w:right="0" w:hanging="360"/>
        <w:jc w:val="left"/>
        <w:rPr/>
      </w:pPr>
      <w:r>
        <w:rPr/>
        <w:t>Run the pipeline:</w:t>
      </w:r>
    </w:p>
    <w:p>
      <w:pPr>
        <w:pStyle w:val="Codebox"/>
        <w:bidi w:val="0"/>
        <w:ind w:left="720" w:right="0" w:hanging="0"/>
        <w:jc w:val="left"/>
        <w:rPr/>
      </w:pPr>
      <w:r>
        <w:rPr/>
        <w:t>./run_nf_pipeline.sh</w:t>
      </w:r>
      <w:r>
        <w:br w:type="page"/>
      </w:r>
    </w:p>
    <w:p>
      <w:pPr>
        <w:pStyle w:val="Heading1"/>
        <w:bidi w:val="0"/>
        <w:jc w:val="left"/>
        <w:rPr/>
      </w:pPr>
      <w:bookmarkStart w:id="5" w:name="__RefHeading___Toc119_3077261986"/>
      <w:bookmarkEnd w:id="5"/>
      <w:r>
        <w:rPr/>
        <w:t>Hardware requirements</w:t>
      </w:r>
    </w:p>
    <w:p>
      <w:pPr>
        <w:pStyle w:val="Heading2"/>
        <w:bidi w:val="0"/>
        <w:jc w:val="left"/>
        <w:rPr/>
      </w:pPr>
      <w:bookmarkStart w:id="6" w:name="__RefHeading___Toc121_3077261986"/>
      <w:bookmarkEnd w:id="6"/>
      <w:r>
        <w:rPr/>
        <w:t>Platform</w:t>
      </w:r>
    </w:p>
    <w:p>
      <w:pPr>
        <w:pStyle w:val="TextBody"/>
        <w:bidi w:val="0"/>
        <w:jc w:val="left"/>
        <w:rPr/>
      </w:pPr>
      <w:r>
        <w:rPr/>
        <w:t>Pipeline is intended to run on any general purpose GNU/Linux computing server with x86_64 architecture.</w:t>
      </w:r>
    </w:p>
    <w:p>
      <w:pPr>
        <w:pStyle w:val="Heading2"/>
        <w:bidi w:val="0"/>
        <w:jc w:val="left"/>
        <w:rPr/>
      </w:pPr>
      <w:bookmarkStart w:id="7" w:name="__RefHeading___Toc123_3077261986"/>
      <w:bookmarkEnd w:id="7"/>
      <w:r>
        <w:rPr/>
        <w:t>CPU</w:t>
      </w:r>
    </w:p>
    <w:p>
      <w:pPr>
        <w:pStyle w:val="TextBody"/>
        <w:bidi w:val="0"/>
        <w:jc w:val="left"/>
        <w:rPr/>
      </w:pPr>
      <w:r>
        <w:rPr/>
        <w:t xml:space="preserve">The pipeline consists of multiple steps (processes) that run in separate containers, potentially concurrently. Each process has its own hardware requirements, which can vary significantly—from very low to very high demands. Some processes benefit from multiple cores, while others are single-threaded or fast enough to not require more than one core. The exact requirements depend on the number of samples expected to be analyzed in parallel. In general, the pipeline can run with any number of cores, and additional cores may reduce computation time, especially when analyzing multiple samples simultaneously. </w:t>
      </w:r>
    </w:p>
    <w:p>
      <w:pPr>
        <w:pStyle w:val="Heading3"/>
        <w:bidi w:val="0"/>
        <w:jc w:val="left"/>
        <w:rPr/>
      </w:pPr>
      <w:bookmarkStart w:id="8" w:name="__RefHeading___Toc146_3077261986"/>
      <w:bookmarkEnd w:id="8"/>
      <w:r>
        <w:rPr/>
        <w:t>Single sample mode</w:t>
      </w:r>
    </w:p>
    <w:p>
      <w:pPr>
        <w:pStyle w:val="TextBody"/>
        <w:bidi w:val="0"/>
        <w:jc w:val="left"/>
        <w:rPr/>
      </w:pPr>
      <w:r>
        <w:rPr/>
        <w:t xml:space="preserve">In case of running the pipeline in single sample mode we recommend using at least </w:t>
      </w:r>
      <w:r>
        <w:rPr>
          <w:b/>
          <w:bCs/>
        </w:rPr>
        <w:t>8 cores per sample</w:t>
      </w:r>
      <w:r>
        <w:rPr/>
        <w:t>.</w:t>
      </w:r>
    </w:p>
    <w:p>
      <w:pPr>
        <w:pStyle w:val="Heading3"/>
        <w:bidi w:val="0"/>
        <w:jc w:val="left"/>
        <w:rPr/>
      </w:pPr>
      <w:bookmarkStart w:id="9" w:name="__RefHeading___Toc148_3077261986"/>
      <w:bookmarkEnd w:id="9"/>
      <w:r>
        <w:rPr/>
        <w:t>Multiple samples mode</w:t>
      </w:r>
    </w:p>
    <w:p>
      <w:pPr>
        <w:pStyle w:val="TextBody"/>
        <w:bidi w:val="0"/>
        <w:jc w:val="left"/>
        <w:rPr/>
      </w:pPr>
      <w:r>
        <w:rPr/>
        <w:t>In case of running set of samples in parallel we recommended using 4</w:t>
      </w:r>
      <w:r>
        <w:rPr>
          <w:b/>
          <w:bCs/>
        </w:rPr>
        <w:t xml:space="preserve"> cores per sample.</w:t>
      </w:r>
    </w:p>
    <w:p>
      <w:pPr>
        <w:pStyle w:val="Heading2"/>
        <w:bidi w:val="0"/>
        <w:jc w:val="left"/>
        <w:rPr/>
      </w:pPr>
      <w:bookmarkStart w:id="10" w:name="__RefHeading___Toc125_3077261986"/>
      <w:bookmarkEnd w:id="10"/>
      <w:r>
        <w:rPr/>
        <w:t>Memory</w:t>
      </w:r>
    </w:p>
    <w:p>
      <w:pPr>
        <w:pStyle w:val="TextBody"/>
        <w:bidi w:val="0"/>
        <w:jc w:val="left"/>
        <w:rPr/>
      </w:pPr>
      <w:r>
        <w:rPr/>
        <w:t>The most memory-intensive process is Kraken2, which must load its entire database into memory. The size of the database determines the overall memory requirement. By default, we use the standard database, which is approximately 80 GiB. Additional memory is required to support other processes and the operating system, resulting in a total memory requirement of at least 82 GiB per sample.</w:t>
      </w:r>
    </w:p>
    <w:p>
      <w:pPr>
        <w:pStyle w:val="Tip"/>
        <w:bidi w:val="0"/>
        <w:ind w:left="643" w:right="0" w:hanging="0"/>
        <w:jc w:val="left"/>
        <w:rPr/>
      </w:pPr>
      <w:r>
        <w:rPr/>
        <w:t>Memory requirements can be significantly reduced by choosing a smaller database (e.g., one containing only specific branches of the Tree of Life). A list of available databases, their contents, and sizes is provided here</w:t>
      </w:r>
    </w:p>
    <w:p>
      <w:pPr>
        <w:pStyle w:val="Tip"/>
        <w:bidi w:val="0"/>
        <w:ind w:left="643" w:right="0" w:hanging="0"/>
        <w:jc w:val="left"/>
        <w:rPr/>
      </w:pPr>
      <w:hyperlink r:id="rId5">
        <w:r>
          <w:rPr>
            <w:rStyle w:val="InternetLink"/>
          </w:rPr>
          <w:t>https://benlangmead.github.io/aws-indexes/k2</w:t>
        </w:r>
      </w:hyperlink>
    </w:p>
    <w:p>
      <w:pPr>
        <w:pStyle w:val="Heading2"/>
        <w:bidi w:val="0"/>
        <w:jc w:val="left"/>
        <w:rPr/>
      </w:pPr>
      <w:bookmarkStart w:id="11" w:name="__RefHeading___Toc127_3077261986"/>
      <w:bookmarkEnd w:id="11"/>
      <w:r>
        <w:rPr/>
        <w:t>Storage requirements</w:t>
      </w:r>
    </w:p>
    <w:p>
      <w:pPr>
        <w:pStyle w:val="TextBody"/>
        <w:bidi w:val="0"/>
        <w:jc w:val="left"/>
        <w:rPr/>
      </w:pPr>
      <w:r>
        <w:rPr/>
        <w:t xml:space="preserve">Total storage requirements is </w:t>
      </w:r>
      <w:r>
        <w:rPr>
          <w:b/>
          <w:bCs/>
        </w:rPr>
        <w:t>~80 GiB</w:t>
      </w:r>
      <w:r>
        <w:rPr/>
        <w:t xml:space="preserve"> of constant data, and further </w:t>
      </w:r>
      <w:r>
        <w:rPr>
          <w:b/>
          <w:bCs/>
        </w:rPr>
        <w:t>~3.3 GiB</w:t>
      </w:r>
      <w:r>
        <w:rPr/>
        <w:t xml:space="preserve"> per sample.</w:t>
      </w:r>
    </w:p>
    <w:p>
      <w:pPr>
        <w:pStyle w:val="Heading3"/>
        <w:bidi w:val="0"/>
        <w:jc w:val="left"/>
        <w:rPr/>
      </w:pPr>
      <w:bookmarkStart w:id="12" w:name="__RefHeading___Toc129_3077261986"/>
      <w:bookmarkEnd w:id="12"/>
      <w:r>
        <w:rPr/>
        <w:t>Performance</w:t>
      </w:r>
    </w:p>
    <w:p>
      <w:pPr>
        <w:pStyle w:val="TextBody"/>
        <w:bidi w:val="0"/>
        <w:jc w:val="left"/>
        <w:rPr/>
      </w:pPr>
      <w:r>
        <w:rPr/>
        <w:t xml:space="preserve">Many processes in the perform a lot of I/O operations, thus pipeline definitely can benefit from fast storage. We recommend store external databases, and temporary files in fast storage like NVMe SSD in RAID 0. It also may be beneficial to store it on in-memory file system like </w:t>
      </w:r>
      <w:r>
        <w:rPr>
          <w:rStyle w:val="Code"/>
        </w:rPr>
        <w:t>tmpfs</w:t>
      </w:r>
      <w:r>
        <w:rPr/>
        <w:t>, however no extensive tests were performed.</w:t>
      </w:r>
    </w:p>
    <w:p>
      <w:pPr>
        <w:pStyle w:val="Heading3"/>
        <w:bidi w:val="0"/>
        <w:jc w:val="left"/>
        <w:rPr/>
      </w:pPr>
      <w:bookmarkStart w:id="13" w:name="__RefHeading___Toc131_3077261986"/>
      <w:bookmarkEnd w:id="13"/>
      <w:r>
        <w:rPr/>
        <w:t>Docker images sizes:</w:t>
      </w:r>
    </w:p>
    <w:p>
      <w:pPr>
        <w:pStyle w:val="TextBody"/>
        <w:bidi w:val="0"/>
        <w:jc w:val="left"/>
        <w:rPr/>
      </w:pPr>
      <w:r>
        <w:rPr/>
        <w:t>Pipeline consist of three docker images two for computations and one is wrapper for external databases updates.</w:t>
      </w:r>
    </w:p>
    <w:tbl>
      <w:tblPr>
        <w:tblW w:w="5000" w:type="pct"/>
        <w:jc w:val="left"/>
        <w:tblInd w:w="5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shd w:fill="EEEEEE" w:val="clear"/>
          </w:tcPr>
          <w:p>
            <w:pPr>
              <w:pStyle w:val="Normal"/>
              <w:widowControl w:val="false"/>
              <w:suppressAutoHyphens w:val="true"/>
              <w:bidi w:val="0"/>
              <w:spacing w:before="0" w:after="0"/>
              <w:ind w:left="113" w:right="0" w:hanging="0"/>
              <w:jc w:val="left"/>
              <w:rPr>
                <w:b/>
                <w:b/>
                <w:bCs/>
              </w:rPr>
            </w:pPr>
            <w:r>
              <w:rPr>
                <w:b/>
                <w:bCs/>
              </w:rPr>
              <w:t>Image</w:t>
            </w:r>
          </w:p>
        </w:tc>
        <w:tc>
          <w:tcPr>
            <w:tcW w:w="4819" w:type="dxa"/>
            <w:tcBorders>
              <w:top w:val="single" w:sz="4" w:space="0" w:color="000000"/>
              <w:left w:val="single" w:sz="4" w:space="0" w:color="000000"/>
              <w:bottom w:val="single" w:sz="4" w:space="0" w:color="000000"/>
              <w:right w:val="single" w:sz="4" w:space="0" w:color="000000"/>
            </w:tcBorders>
            <w:shd w:fill="EEEEEE" w:val="clear"/>
          </w:tcPr>
          <w:p>
            <w:pPr>
              <w:pStyle w:val="Normal"/>
              <w:widowControl w:val="false"/>
              <w:bidi w:val="0"/>
              <w:jc w:val="left"/>
              <w:rPr>
                <w:b/>
                <w:b/>
                <w:bCs/>
              </w:rPr>
            </w:pPr>
            <w:r>
              <w:rPr>
                <w:b/>
                <w:bCs/>
              </w:rPr>
              <w:t>Size</w:t>
            </w:r>
          </w:p>
        </w:tc>
      </w:tr>
      <w:tr>
        <w:trPr/>
        <w:tc>
          <w:tcPr>
            <w:tcW w:w="4818" w:type="dxa"/>
            <w:tcBorders>
              <w:left w:val="single" w:sz="4" w:space="0" w:color="000000"/>
              <w:bottom w:val="single" w:sz="4" w:space="0" w:color="000000"/>
            </w:tcBorders>
          </w:tcPr>
          <w:p>
            <w:pPr>
              <w:pStyle w:val="Normal"/>
              <w:widowControl w:val="false"/>
              <w:bidi w:val="0"/>
              <w:jc w:val="left"/>
              <w:rPr/>
            </w:pPr>
            <w:r>
              <w:rPr/>
              <w:t>nf_illumina_sars-4.1-main</w:t>
            </w:r>
          </w:p>
        </w:tc>
        <w:tc>
          <w:tcPr>
            <w:tcW w:w="4819" w:type="dxa"/>
            <w:tcBorders>
              <w:left w:val="single" w:sz="4" w:space="0" w:color="000000"/>
              <w:bottom w:val="single" w:sz="4" w:space="0" w:color="000000"/>
              <w:right w:val="single" w:sz="4" w:space="0" w:color="000000"/>
            </w:tcBorders>
          </w:tcPr>
          <w:p>
            <w:pPr>
              <w:pStyle w:val="Normal"/>
              <w:widowControl w:val="false"/>
              <w:bidi w:val="0"/>
              <w:jc w:val="left"/>
              <w:rPr/>
            </w:pPr>
            <w:r>
              <w:rPr/>
              <w:t>2.01 GiB</w:t>
            </w:r>
          </w:p>
        </w:tc>
      </w:tr>
      <w:tr>
        <w:trPr/>
        <w:tc>
          <w:tcPr>
            <w:tcW w:w="4818" w:type="dxa"/>
            <w:tcBorders>
              <w:left w:val="single" w:sz="4" w:space="0" w:color="000000"/>
              <w:bottom w:val="single" w:sz="4" w:space="0" w:color="000000"/>
            </w:tcBorders>
          </w:tcPr>
          <w:p>
            <w:pPr>
              <w:pStyle w:val="Normal"/>
              <w:widowControl w:val="false"/>
              <w:bidi w:val="0"/>
              <w:jc w:val="left"/>
              <w:rPr/>
            </w:pPr>
            <w:r>
              <w:rPr/>
              <w:t>nf_illumina_sars-4.1-updater</w:t>
            </w:r>
          </w:p>
        </w:tc>
        <w:tc>
          <w:tcPr>
            <w:tcW w:w="4819" w:type="dxa"/>
            <w:tcBorders>
              <w:left w:val="single" w:sz="4" w:space="0" w:color="000000"/>
              <w:bottom w:val="single" w:sz="4" w:space="0" w:color="000000"/>
              <w:right w:val="single" w:sz="4" w:space="0" w:color="000000"/>
            </w:tcBorders>
          </w:tcPr>
          <w:p>
            <w:pPr>
              <w:pStyle w:val="Normal"/>
              <w:widowControl w:val="false"/>
              <w:bidi w:val="0"/>
              <w:jc w:val="left"/>
              <w:rPr/>
            </w:pPr>
            <w:r>
              <w:rPr/>
              <w:t>258 MiB</w:t>
            </w:r>
          </w:p>
        </w:tc>
      </w:tr>
      <w:tr>
        <w:trPr/>
        <w:tc>
          <w:tcPr>
            <w:tcW w:w="4818" w:type="dxa"/>
            <w:tcBorders>
              <w:left w:val="single" w:sz="4" w:space="0" w:color="000000"/>
              <w:bottom w:val="single" w:sz="4" w:space="0" w:color="000000"/>
            </w:tcBorders>
          </w:tcPr>
          <w:p>
            <w:pPr>
              <w:pStyle w:val="Normal"/>
              <w:widowControl w:val="false"/>
              <w:bidi w:val="0"/>
              <w:jc w:val="left"/>
              <w:rPr/>
            </w:pPr>
            <w:r>
              <w:rPr/>
              <w:t>nf_illumina_sars-4.1-manta</w:t>
            </w:r>
          </w:p>
        </w:tc>
        <w:tc>
          <w:tcPr>
            <w:tcW w:w="4819" w:type="dxa"/>
            <w:tcBorders>
              <w:left w:val="single" w:sz="4" w:space="0" w:color="000000"/>
              <w:bottom w:val="single" w:sz="4" w:space="0" w:color="000000"/>
              <w:right w:val="single" w:sz="4" w:space="0" w:color="000000"/>
            </w:tcBorders>
          </w:tcPr>
          <w:p>
            <w:pPr>
              <w:pStyle w:val="Normal"/>
              <w:widowControl w:val="false"/>
              <w:bidi w:val="0"/>
              <w:jc w:val="left"/>
              <w:rPr/>
            </w:pPr>
            <w:r>
              <w:rPr/>
              <w:t>1.72 GiB</w:t>
            </w:r>
          </w:p>
        </w:tc>
      </w:tr>
      <w:tr>
        <w:trPr/>
        <w:tc>
          <w:tcPr>
            <w:tcW w:w="4818" w:type="dxa"/>
            <w:tcBorders>
              <w:left w:val="single" w:sz="4" w:space="0" w:color="000000"/>
              <w:bottom w:val="single" w:sz="4" w:space="0" w:color="000000"/>
            </w:tcBorders>
          </w:tcPr>
          <w:p>
            <w:pPr>
              <w:pStyle w:val="Normal"/>
              <w:widowControl w:val="false"/>
              <w:bidi w:val="0"/>
              <w:jc w:val="left"/>
              <w:rPr>
                <w:b/>
                <w:b/>
                <w:bCs/>
              </w:rPr>
            </w:pPr>
            <w:r>
              <w:rPr>
                <w:b/>
                <w:bCs/>
              </w:rPr>
              <w:t>Total</w:t>
            </w:r>
          </w:p>
        </w:tc>
        <w:tc>
          <w:tcPr>
            <w:tcW w:w="4819" w:type="dxa"/>
            <w:tcBorders>
              <w:left w:val="single" w:sz="4" w:space="0" w:color="000000"/>
              <w:bottom w:val="single" w:sz="4" w:space="0" w:color="000000"/>
              <w:right w:val="single" w:sz="4" w:space="0" w:color="000000"/>
            </w:tcBorders>
          </w:tcPr>
          <w:p>
            <w:pPr>
              <w:pStyle w:val="Normal"/>
              <w:widowControl w:val="false"/>
              <w:bidi w:val="0"/>
              <w:jc w:val="left"/>
              <w:rPr>
                <w:b/>
                <w:b/>
                <w:bCs/>
              </w:rPr>
            </w:pPr>
            <w:r>
              <w:rPr>
                <w:b/>
                <w:bCs/>
              </w:rPr>
              <w:t>3.98 GiB</w:t>
            </w:r>
          </w:p>
        </w:tc>
      </w:tr>
    </w:tbl>
    <w:p>
      <w:pPr>
        <w:pStyle w:val="Heading3"/>
        <w:bidi w:val="0"/>
        <w:jc w:val="left"/>
        <w:rPr/>
      </w:pPr>
      <w:bookmarkStart w:id="14" w:name="__RefHeading___Toc150_3077261986"/>
      <w:bookmarkEnd w:id="14"/>
      <w:r>
        <w:rPr/>
        <w:t>Databases sizes:</w:t>
      </w:r>
    </w:p>
    <w:p>
      <w:pPr>
        <w:pStyle w:val="TextBody"/>
        <w:bidi w:val="0"/>
        <w:jc w:val="left"/>
        <w:rPr/>
      </w:pPr>
      <w:r>
        <w:rPr/>
        <w:t xml:space="preserve">Pipeline require access to external databases. Total size of databases is </w:t>
      </w:r>
      <w:r>
        <w:rPr>
          <w:b/>
          <w:bCs/>
        </w:rPr>
        <w:t>80.8 GiB.</w:t>
      </w:r>
    </w:p>
    <w:p>
      <w:pPr>
        <w:pStyle w:val="Heading3"/>
        <w:bidi w:val="0"/>
        <w:jc w:val="left"/>
        <w:rPr/>
      </w:pPr>
      <w:bookmarkStart w:id="15" w:name="__RefHeading___Toc133_3077261986"/>
      <w:bookmarkEnd w:id="15"/>
      <w:r>
        <w:rPr/>
        <w:t>Database Sizes</w:t>
      </w:r>
    </w:p>
    <w:tbl>
      <w:tblPr>
        <w:tblW w:w="5000" w:type="pct"/>
        <w:jc w:val="left"/>
        <w:tblInd w:w="5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shd w:fill="EEEEEE" w:val="clear"/>
          </w:tcPr>
          <w:p>
            <w:pPr>
              <w:pStyle w:val="TableContents"/>
              <w:widowControl w:val="false"/>
              <w:bidi w:val="0"/>
              <w:jc w:val="left"/>
              <w:rPr>
                <w:b/>
                <w:b/>
                <w:bCs/>
              </w:rPr>
            </w:pPr>
            <w:r>
              <w:rPr>
                <w:b/>
                <w:bCs/>
              </w:rPr>
              <w:t>Database</w:t>
            </w:r>
          </w:p>
        </w:tc>
        <w:tc>
          <w:tcPr>
            <w:tcW w:w="4819" w:type="dxa"/>
            <w:tcBorders>
              <w:top w:val="single" w:sz="4" w:space="0" w:color="000000"/>
              <w:left w:val="single" w:sz="4" w:space="0" w:color="000000"/>
              <w:bottom w:val="single" w:sz="4" w:space="0" w:color="000000"/>
              <w:right w:val="single" w:sz="4" w:space="0" w:color="000000"/>
            </w:tcBorders>
            <w:shd w:fill="EEEEEE" w:val="clear"/>
          </w:tcPr>
          <w:p>
            <w:pPr>
              <w:pStyle w:val="TableContents"/>
              <w:widowControl w:val="false"/>
              <w:bidi w:val="0"/>
              <w:jc w:val="left"/>
              <w:rPr>
                <w:b/>
                <w:b/>
                <w:bCs/>
              </w:rPr>
            </w:pPr>
            <w:r>
              <w:rPr>
                <w:b/>
                <w:bCs/>
              </w:rPr>
              <w:t>Size</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pangolin</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90.2 MiB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nextclade</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19.5 MiB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kraken2</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80.5 GiB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freyja</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113.4 MiB</w:t>
            </w:r>
          </w:p>
        </w:tc>
      </w:tr>
      <w:tr>
        <w:trPr/>
        <w:tc>
          <w:tcPr>
            <w:tcW w:w="4818" w:type="dxa"/>
            <w:tcBorders>
              <w:left w:val="single" w:sz="4" w:space="0" w:color="000000"/>
              <w:bottom w:val="single" w:sz="4" w:space="0" w:color="000000"/>
            </w:tcBorders>
          </w:tcPr>
          <w:p>
            <w:pPr>
              <w:pStyle w:val="TableContents"/>
              <w:widowControl w:val="false"/>
              <w:bidi w:val="0"/>
              <w:jc w:val="left"/>
              <w:rPr>
                <w:b/>
                <w:b/>
                <w:bCs/>
              </w:rPr>
            </w:pPr>
            <w:r>
              <w:rPr>
                <w:b/>
                <w:bCs/>
              </w:rPr>
              <w:t>Total</w:t>
            </w:r>
          </w:p>
        </w:tc>
        <w:tc>
          <w:tcPr>
            <w:tcW w:w="4819" w:type="dxa"/>
            <w:tcBorders>
              <w:left w:val="single" w:sz="4" w:space="0" w:color="000000"/>
              <w:bottom w:val="single" w:sz="4" w:space="0" w:color="000000"/>
              <w:right w:val="single" w:sz="4" w:space="0" w:color="000000"/>
            </w:tcBorders>
          </w:tcPr>
          <w:p>
            <w:pPr>
              <w:pStyle w:val="TableContents"/>
              <w:widowControl w:val="false"/>
              <w:bidi w:val="0"/>
              <w:jc w:val="left"/>
              <w:rPr>
                <w:b/>
                <w:b/>
                <w:bCs/>
              </w:rPr>
            </w:pPr>
            <w:r>
              <w:rPr>
                <w:b/>
                <w:bCs/>
              </w:rPr>
              <w:t>80.8 GiB</w:t>
            </w:r>
          </w:p>
        </w:tc>
      </w:tr>
    </w:tbl>
    <w:p>
      <w:pPr>
        <w:pStyle w:val="Tip"/>
        <w:ind w:left="643" w:right="170" w:hanging="0"/>
        <w:rPr/>
      </w:pPr>
      <w:r>
        <w:rPr/>
        <w:t>Storage requirements of databases can be significantly reduced the same way as RAM memory requirement.</w:t>
      </w:r>
    </w:p>
    <w:p>
      <w:pPr>
        <w:pStyle w:val="Heading3"/>
        <w:bidi w:val="0"/>
        <w:jc w:val="left"/>
        <w:rPr/>
      </w:pPr>
      <w:bookmarkStart w:id="16" w:name="__RefHeading___Toc135_3077261986"/>
      <w:bookmarkEnd w:id="16"/>
      <w:r>
        <w:rPr/>
        <w:t>Temporary files and results</w:t>
      </w:r>
    </w:p>
    <w:p>
      <w:pPr>
        <w:pStyle w:val="TextBody"/>
        <w:bidi w:val="0"/>
        <w:jc w:val="left"/>
        <w:rPr/>
      </w:pPr>
      <w:r>
        <w:rPr/>
        <w:t>The pipeline generates a large number of temporary files, which are stored in the work directory, and the actual results data in the results directory. The majority of the space in the results directory is occupied by dehumanized FASTA files. The results of our tests are summarized in the table below; however, please note that these data are not representative of real-life sequencing scenarios, and actual resource demands may vary significantly.</w:t>
      </w:r>
    </w:p>
    <w:tbl>
      <w:tblPr>
        <w:tblW w:w="5000" w:type="pct"/>
        <w:jc w:val="left"/>
        <w:tblInd w:w="55" w:type="dxa"/>
        <w:tblLayout w:type="fixed"/>
        <w:tblCellMar>
          <w:top w:w="55" w:type="dxa"/>
          <w:left w:w="55" w:type="dxa"/>
          <w:bottom w:w="55" w:type="dxa"/>
          <w:right w:w="55" w:type="dxa"/>
        </w:tblCellMar>
      </w:tblPr>
      <w:tblGrid>
        <w:gridCol w:w="2443"/>
        <w:gridCol w:w="3597"/>
        <w:gridCol w:w="3598"/>
      </w:tblGrid>
      <w:tr>
        <w:trPr/>
        <w:tc>
          <w:tcPr>
            <w:tcW w:w="2443" w:type="dxa"/>
            <w:tcBorders>
              <w:top w:val="single" w:sz="4" w:space="0" w:color="000000"/>
              <w:left w:val="single" w:sz="4" w:space="0" w:color="000000"/>
              <w:bottom w:val="single" w:sz="4" w:space="0" w:color="000000"/>
            </w:tcBorders>
            <w:shd w:fill="EEEEEE" w:val="clear"/>
          </w:tcPr>
          <w:p>
            <w:pPr>
              <w:pStyle w:val="TableContents"/>
              <w:widowControl w:val="false"/>
              <w:bidi w:val="0"/>
              <w:jc w:val="center"/>
              <w:rPr>
                <w:b/>
                <w:b/>
                <w:bCs/>
              </w:rPr>
            </w:pPr>
            <w:r>
              <w:rPr>
                <w:b/>
                <w:bCs/>
              </w:rPr>
              <w:t>Pipeline</w:t>
            </w:r>
          </w:p>
        </w:tc>
        <w:tc>
          <w:tcPr>
            <w:tcW w:w="3597" w:type="dxa"/>
            <w:tcBorders>
              <w:top w:val="single" w:sz="4" w:space="0" w:color="000000"/>
              <w:left w:val="single" w:sz="4" w:space="0" w:color="000000"/>
              <w:bottom w:val="single" w:sz="4" w:space="0" w:color="000000"/>
            </w:tcBorders>
            <w:shd w:fill="EEEEEE" w:val="clear"/>
          </w:tcPr>
          <w:p>
            <w:pPr>
              <w:pStyle w:val="TableContents"/>
              <w:widowControl w:val="false"/>
              <w:bidi w:val="0"/>
              <w:jc w:val="center"/>
              <w:rPr>
                <w:b/>
                <w:b/>
                <w:bCs/>
              </w:rPr>
            </w:pPr>
            <w:r>
              <w:rPr>
                <w:b/>
                <w:bCs/>
              </w:rPr>
              <w:t>Temporary Storage</w:t>
            </w:r>
          </w:p>
          <w:p>
            <w:pPr>
              <w:pStyle w:val="TableContents"/>
              <w:widowControl w:val="false"/>
              <w:bidi w:val="0"/>
              <w:jc w:val="center"/>
              <w:rPr>
                <w:b/>
                <w:b/>
                <w:bCs/>
              </w:rPr>
            </w:pPr>
            <w:r>
              <w:rPr>
                <w:b/>
                <w:bCs/>
              </w:rPr>
              <w:t>Average size per sample</w:t>
            </w:r>
          </w:p>
        </w:tc>
        <w:tc>
          <w:tcPr>
            <w:tcW w:w="3598" w:type="dxa"/>
            <w:tcBorders>
              <w:top w:val="single" w:sz="4" w:space="0" w:color="000000"/>
              <w:left w:val="single" w:sz="4" w:space="0" w:color="000000"/>
              <w:bottom w:val="single" w:sz="4" w:space="0" w:color="000000"/>
              <w:right w:val="single" w:sz="4" w:space="0" w:color="000000"/>
            </w:tcBorders>
            <w:shd w:fill="EEEEEE" w:val="clear"/>
          </w:tcPr>
          <w:p>
            <w:pPr>
              <w:pStyle w:val="TableContents"/>
              <w:widowControl w:val="false"/>
              <w:bidi w:val="0"/>
              <w:jc w:val="center"/>
              <w:rPr>
                <w:b/>
                <w:b/>
                <w:bCs/>
              </w:rPr>
            </w:pPr>
            <w:r>
              <w:rPr>
                <w:b/>
                <w:bCs/>
              </w:rPr>
              <w:t>Results</w:t>
            </w:r>
          </w:p>
          <w:p>
            <w:pPr>
              <w:pStyle w:val="TableContents"/>
              <w:widowControl w:val="false"/>
              <w:bidi w:val="0"/>
              <w:jc w:val="center"/>
              <w:rPr>
                <w:b/>
                <w:b/>
                <w:bCs/>
              </w:rPr>
            </w:pPr>
            <w:r>
              <w:rPr>
                <w:b/>
                <w:bCs/>
              </w:rPr>
              <w:t>Average size per sample</w:t>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ILLUMINA_SARS</w:t>
            </w:r>
          </w:p>
        </w:tc>
        <w:tc>
          <w:tcPr>
            <w:tcW w:w="3597" w:type="dxa"/>
            <w:tcBorders>
              <w:left w:val="single" w:sz="4" w:space="0" w:color="000000"/>
              <w:bottom w:val="single" w:sz="4" w:space="0" w:color="000000"/>
            </w:tcBorders>
          </w:tcPr>
          <w:p>
            <w:pPr>
              <w:pStyle w:val="TableContents"/>
              <w:widowControl w:val="false"/>
              <w:bidi w:val="0"/>
              <w:jc w:val="right"/>
              <w:rPr/>
            </w:pPr>
            <w:r>
              <w:rPr/>
              <w:t>4.43 GiB</w:t>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t>355.41 MiB</w:t>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ILLUMINA_INFL</w:t>
            </w:r>
          </w:p>
        </w:tc>
        <w:tc>
          <w:tcPr>
            <w:tcW w:w="3597" w:type="dxa"/>
            <w:tcBorders>
              <w:left w:val="single" w:sz="4" w:space="0" w:color="000000"/>
              <w:bottom w:val="single" w:sz="4" w:space="0" w:color="000000"/>
            </w:tcBorders>
          </w:tcPr>
          <w:p>
            <w:pPr>
              <w:pStyle w:val="TableContents"/>
              <w:widowControl w:val="false"/>
              <w:bidi w:val="0"/>
              <w:jc w:val="right"/>
              <w:rPr/>
            </w:pPr>
            <w:r>
              <w:rPr/>
              <w:t>2.28 GiB</w:t>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t>???.??</w:t>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ILLUMINA_RSV</w:t>
            </w:r>
          </w:p>
        </w:tc>
        <w:tc>
          <w:tcPr>
            <w:tcW w:w="3597" w:type="dxa"/>
            <w:tcBorders>
              <w:left w:val="single" w:sz="4" w:space="0" w:color="000000"/>
              <w:bottom w:val="single" w:sz="4" w:space="0" w:color="000000"/>
            </w:tcBorders>
          </w:tcPr>
          <w:p>
            <w:pPr>
              <w:pStyle w:val="TableContents"/>
              <w:widowControl w:val="false"/>
              <w:bidi w:val="0"/>
              <w:jc w:val="right"/>
              <w:rPr/>
            </w:pPr>
            <w:r>
              <w:rPr/>
              <w:t>1.35 GiB</w:t>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t>117.5 MiB</w:t>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NANOPORE_SARS</w:t>
            </w:r>
          </w:p>
        </w:tc>
        <w:tc>
          <w:tcPr>
            <w:tcW w:w="3597" w:type="dxa"/>
            <w:tcBorders>
              <w:left w:val="single" w:sz="4" w:space="0" w:color="000000"/>
              <w:bottom w:val="single" w:sz="4" w:space="0" w:color="000000"/>
            </w:tcBorders>
          </w:tcPr>
          <w:p>
            <w:pPr>
              <w:pStyle w:val="TableContents"/>
              <w:widowControl w:val="false"/>
              <w:bidi w:val="0"/>
              <w:jc w:val="right"/>
              <w:rPr/>
            </w:pPr>
            <w:r>
              <w:rPr/>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NANOPORE_INFL</w:t>
            </w:r>
          </w:p>
        </w:tc>
        <w:tc>
          <w:tcPr>
            <w:tcW w:w="3597" w:type="dxa"/>
            <w:tcBorders>
              <w:left w:val="single" w:sz="4" w:space="0" w:color="000000"/>
              <w:bottom w:val="single" w:sz="4" w:space="0" w:color="000000"/>
            </w:tcBorders>
          </w:tcPr>
          <w:p>
            <w:pPr>
              <w:pStyle w:val="TableContents"/>
              <w:widowControl w:val="false"/>
              <w:bidi w:val="0"/>
              <w:jc w:val="right"/>
              <w:rPr/>
            </w:pPr>
            <w:r>
              <w:rPr/>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r>
          </w:p>
        </w:tc>
      </w:tr>
      <w:tr>
        <w:trPr/>
        <w:tc>
          <w:tcPr>
            <w:tcW w:w="2443" w:type="dxa"/>
            <w:tcBorders>
              <w:left w:val="single" w:sz="4" w:space="0" w:color="000000"/>
              <w:bottom w:val="single" w:sz="4" w:space="0" w:color="000000"/>
            </w:tcBorders>
          </w:tcPr>
          <w:p>
            <w:pPr>
              <w:pStyle w:val="TableContents"/>
              <w:widowControl w:val="false"/>
              <w:suppressLineNumbers/>
              <w:bidi w:val="0"/>
              <w:jc w:val="left"/>
              <w:rPr/>
            </w:pPr>
            <w:r>
              <w:rPr/>
              <w:t>NANOPORE_RSV</w:t>
            </w:r>
          </w:p>
        </w:tc>
        <w:tc>
          <w:tcPr>
            <w:tcW w:w="3597" w:type="dxa"/>
            <w:tcBorders>
              <w:left w:val="single" w:sz="4" w:space="0" w:color="000000"/>
              <w:bottom w:val="single" w:sz="4" w:space="0" w:color="000000"/>
            </w:tcBorders>
          </w:tcPr>
          <w:p>
            <w:pPr>
              <w:pStyle w:val="TableContents"/>
              <w:widowControl w:val="false"/>
              <w:bidi w:val="0"/>
              <w:jc w:val="right"/>
              <w:rPr/>
            </w:pPr>
            <w:r>
              <w:rPr/>
            </w:r>
          </w:p>
        </w:tc>
        <w:tc>
          <w:tcPr>
            <w:tcW w:w="3598" w:type="dxa"/>
            <w:tcBorders>
              <w:left w:val="single" w:sz="4" w:space="0" w:color="000000"/>
              <w:bottom w:val="single" w:sz="4" w:space="0" w:color="000000"/>
              <w:right w:val="single" w:sz="4" w:space="0" w:color="000000"/>
            </w:tcBorders>
          </w:tcPr>
          <w:p>
            <w:pPr>
              <w:pStyle w:val="TableContents"/>
              <w:widowControl w:val="false"/>
              <w:bidi w:val="0"/>
              <w:jc w:val="right"/>
              <w:rPr/>
            </w:pPr>
            <w:r>
              <w:rPr/>
            </w:r>
          </w:p>
        </w:tc>
      </w:tr>
    </w:tbl>
    <w:p>
      <w:pPr>
        <w:pStyle w:val="Heading3"/>
        <w:bidi w:val="0"/>
        <w:jc w:val="left"/>
        <w:rPr/>
      </w:pPr>
      <w:bookmarkStart w:id="17" w:name="__RefHeading___Toc152_3077261986"/>
      <w:bookmarkEnd w:id="17"/>
      <w:r>
        <w:rPr/>
        <w:t>GPU requirements</w:t>
      </w:r>
    </w:p>
    <w:p>
      <w:pPr>
        <w:pStyle w:val="TextBody"/>
        <w:bidi w:val="0"/>
        <w:jc w:val="left"/>
        <w:rPr/>
      </w:pPr>
      <w:r>
        <w:rPr/>
        <w:t>Pipeline does not exploit GPU acceleration, so no GPU is required.</w:t>
      </w:r>
    </w:p>
    <w:p>
      <w:pPr>
        <w:pStyle w:val="Heading1"/>
        <w:bidi w:val="0"/>
        <w:jc w:val="left"/>
        <w:rPr/>
      </w:pPr>
      <w:bookmarkStart w:id="18" w:name="__RefHeading___Toc154_3077261986"/>
      <w:bookmarkEnd w:id="18"/>
      <w:r>
        <w:rPr/>
        <w:t>Software requirements</w:t>
      </w:r>
    </w:p>
    <w:p>
      <w:pPr>
        <w:pStyle w:val="TextBody"/>
        <w:bidi w:val="0"/>
        <w:jc w:val="left"/>
        <w:rPr/>
      </w:pPr>
      <w:r>
        <w:rPr/>
        <w:t>This pipeline is designed to run on a general purpose GNU/Linux operating system. The pipeline is written in Nextflow (</w:t>
      </w:r>
      <w:hyperlink r:id="rId6">
        <w:r>
          <w:rPr>
            <w:rStyle w:val="InternetLink"/>
          </w:rPr>
          <w:t>https://www.nextflow.io/docs/latest/index.html</w:t>
        </w:r>
      </w:hyperlink>
      <w:r>
        <w:rPr/>
        <w:t>), which is a language for writing bioinformatics pipelines. It is designed to be portable and scalable, and can be run on a variety of platforms, including local machines, clusters, and cloud computing environments. Our pipeline is containerized using Docker (</w:t>
      </w:r>
      <w:hyperlink r:id="rId7">
        <w:r>
          <w:rPr>
            <w:rStyle w:val="InternetLink"/>
          </w:rPr>
          <w:t>https://www.docker.com/</w:t>
        </w:r>
      </w:hyperlink>
      <w:r>
        <w:rPr/>
        <w:t xml:space="preserve">), which is a platform for developing, shipping, and running applications in containers. Containers allow a developer to package up an application with all the parts it needs, such as libraries and other dependencies, and ship it all out as one package. This makes it easy to deploy the application on any machine that supports Docker. However, our containers are run differently than usual docker workflow. Containers are run by nextflow, instead of manual execution of docker. Nextflow take care of mounting volumes and deciding which container should be run and when. </w:t>
      </w:r>
    </w:p>
    <w:p>
      <w:pPr>
        <w:pStyle w:val="Heading2"/>
        <w:bidi w:val="0"/>
        <w:jc w:val="left"/>
        <w:rPr/>
      </w:pPr>
      <w:bookmarkStart w:id="19" w:name="__RefHeading___Toc156_3077261986"/>
      <w:bookmarkEnd w:id="19"/>
      <w:r>
        <w:rPr/>
        <w:t>Compatibility</w:t>
      </w:r>
    </w:p>
    <w:p>
      <w:pPr>
        <w:pStyle w:val="TextBody"/>
        <w:bidi w:val="0"/>
        <w:jc w:val="left"/>
        <w:rPr/>
      </w:pPr>
      <w:r>
        <w:rPr/>
        <w:t>Pipeline was tested with following software versions:</w:t>
      </w:r>
    </w:p>
    <w:p>
      <w:pPr>
        <w:pStyle w:val="Heading3"/>
        <w:bidi w:val="0"/>
        <w:jc w:val="left"/>
        <w:rPr/>
      </w:pPr>
      <w:bookmarkStart w:id="20" w:name="__RefHeading___Toc158_3077261986"/>
      <w:bookmarkEnd w:id="20"/>
      <w:r>
        <w:rPr/>
        <w:t>Operating system:</w:t>
      </w:r>
    </w:p>
    <w:p>
      <w:pPr>
        <w:pStyle w:val="TextBody"/>
        <w:bidi w:val="0"/>
        <w:jc w:val="left"/>
        <w:rPr/>
      </w:pPr>
      <w:r>
        <w:rPr/>
        <w:t>Ubuntu 20.04.06 LTS</w:t>
      </w:r>
    </w:p>
    <w:p>
      <w:pPr>
        <w:pStyle w:val="TextBody"/>
        <w:bidi w:val="0"/>
        <w:jc w:val="left"/>
        <w:rPr/>
      </w:pPr>
      <w:r>
        <w:rPr/>
        <w:t>Debian 12.5</w:t>
      </w:r>
    </w:p>
    <w:p>
      <w:pPr>
        <w:pStyle w:val="Heading3"/>
        <w:bidi w:val="0"/>
        <w:jc w:val="left"/>
        <w:rPr/>
      </w:pPr>
      <w:bookmarkStart w:id="21" w:name="__RefHeading___Toc160_3077261986"/>
      <w:bookmarkEnd w:id="21"/>
      <w:r>
        <w:rPr/>
        <w:t>Docker:</w:t>
      </w:r>
    </w:p>
    <w:p>
      <w:pPr>
        <w:pStyle w:val="TextBody"/>
        <w:bidi w:val="0"/>
        <w:jc w:val="left"/>
        <w:rPr/>
      </w:pPr>
      <w:r>
        <w:rPr/>
        <w:t>24.0.7</w:t>
      </w:r>
    </w:p>
    <w:p>
      <w:pPr>
        <w:pStyle w:val="TextBody"/>
        <w:bidi w:val="0"/>
        <w:jc w:val="left"/>
        <w:rPr/>
      </w:pPr>
      <w:r>
        <w:rPr/>
        <w:t>26.0.2</w:t>
      </w:r>
    </w:p>
    <w:p>
      <w:pPr>
        <w:pStyle w:val="Warn"/>
        <w:bidi w:val="0"/>
        <w:ind w:left="643" w:right="0" w:hanging="0"/>
        <w:jc w:val="left"/>
        <w:rPr/>
      </w:pPr>
      <w:r>
        <w:rPr/>
        <w:t>It is known that pipeline will not work with docker 20.10.5 and earlier.</w:t>
      </w:r>
    </w:p>
    <w:p>
      <w:pPr>
        <w:pStyle w:val="Heading3"/>
        <w:bidi w:val="0"/>
        <w:jc w:val="left"/>
        <w:rPr/>
      </w:pPr>
      <w:bookmarkStart w:id="22" w:name="__RefHeading___Toc162_3077261986"/>
      <w:bookmarkEnd w:id="22"/>
      <w:r>
        <w:rPr/>
        <w:t>Nextflow:</w:t>
      </w:r>
    </w:p>
    <w:p>
      <w:pPr>
        <w:pStyle w:val="TextBody"/>
        <w:bidi w:val="0"/>
        <w:jc w:val="left"/>
        <w:rPr/>
      </w:pPr>
      <w:r>
        <w:rPr/>
        <w:t>24.04.4.5917</w:t>
      </w:r>
    </w:p>
    <w:p>
      <w:pPr>
        <w:pStyle w:val="Heading1"/>
        <w:bidi w:val="0"/>
        <w:jc w:val="left"/>
        <w:rPr/>
      </w:pPr>
      <w:bookmarkStart w:id="23" w:name="__RefHeading___Toc164_3077261986"/>
      <w:bookmarkEnd w:id="23"/>
      <w:r>
        <w:rPr/>
        <w:t>Pipeline overview</w:t>
      </w:r>
    </w:p>
    <w:p>
      <w:pPr>
        <w:pStyle w:val="TextBody"/>
        <w:bidi w:val="0"/>
        <w:jc w:val="left"/>
        <w:rPr/>
      </w:pPr>
      <w:r>
        <w:rPr/>
        <w:t xml:space="preserve">The pipeline was written using the Nextflow Framework. It has a modular structure in the sense that individual processes (tools) are located in separate files called modules, and the entire pipeline is invoked from the main file named </w:t>
      </w:r>
      <w:r>
        <w:rPr>
          <w:rStyle w:val="Path"/>
        </w:rPr>
        <w:t>nf_pipeline_viral.nf</w:t>
      </w:r>
      <w:r>
        <w:rPr/>
        <w:t>.</w:t>
      </w:r>
    </w:p>
    <w:p>
      <w:pPr>
        <w:pStyle w:val="TextBody"/>
        <w:bidi w:val="0"/>
        <w:jc w:val="left"/>
        <w:rPr/>
      </w:pPr>
      <w:r>
        <w:rPr/>
        <w:t>The main file actually contains 6 pipelines for all combinations of three viral organisms (SARS-CoV-2, Influenza, and RSV), and two technologies (Illumina and Nanopore). The pipelines can share selected modules or groups of modules, but in areas requiring specific analyses, they use dedicated modules designed only for those purposes. Which pipeline is invoked is determined by the input parameters.</w:t>
      </w:r>
    </w:p>
    <w:p>
      <w:pPr>
        <w:pStyle w:val="TextBody"/>
        <w:bidi w:val="0"/>
        <w:jc w:val="left"/>
        <w:rPr/>
      </w:pPr>
      <w:r>
        <w:rPr/>
        <w:t>In each pipeline, the following stages of analysis can be distinguished:</w:t>
      </w:r>
    </w:p>
    <w:p>
      <w:pPr>
        <w:pStyle w:val="TextBody"/>
        <w:numPr>
          <w:ilvl w:val="0"/>
          <w:numId w:val="3"/>
        </w:numPr>
        <w:bidi w:val="0"/>
        <w:jc w:val="left"/>
        <w:rPr/>
      </w:pPr>
      <w:r>
        <w:rPr/>
        <w:t>Quality control of reads (including contamination detection)</w:t>
      </w:r>
    </w:p>
    <w:p>
      <w:pPr>
        <w:pStyle w:val="TextBody"/>
        <w:numPr>
          <w:ilvl w:val="0"/>
          <w:numId w:val="3"/>
        </w:numPr>
        <w:bidi w:val="0"/>
        <w:jc w:val="left"/>
        <w:rPr/>
      </w:pPr>
      <w:r>
        <w:rPr/>
        <w:t>Mapping of reads to the reference genome</w:t>
      </w:r>
    </w:p>
    <w:p>
      <w:pPr>
        <w:pStyle w:val="TextBody"/>
        <w:numPr>
          <w:ilvl w:val="0"/>
          <w:numId w:val="3"/>
        </w:numPr>
        <w:bidi w:val="0"/>
        <w:jc w:val="left"/>
        <w:rPr/>
      </w:pPr>
      <w:r>
        <w:rPr/>
        <w:t>Filtering and down-sampling of reads</w:t>
      </w:r>
    </w:p>
    <w:p>
      <w:pPr>
        <w:pStyle w:val="TextBody"/>
        <w:numPr>
          <w:ilvl w:val="0"/>
          <w:numId w:val="3"/>
        </w:numPr>
        <w:bidi w:val="0"/>
        <w:jc w:val="left"/>
        <w:rPr/>
      </w:pPr>
      <w:r>
        <w:rPr/>
        <w:t>Detection of structural variants</w:t>
      </w:r>
    </w:p>
    <w:p>
      <w:pPr>
        <w:pStyle w:val="TextBody"/>
        <w:numPr>
          <w:ilvl w:val="0"/>
          <w:numId w:val="3"/>
        </w:numPr>
        <w:bidi w:val="0"/>
        <w:jc w:val="left"/>
        <w:rPr/>
      </w:pPr>
      <w:r>
        <w:rPr/>
        <w:t>Functional analysis</w:t>
      </w:r>
    </w:p>
    <w:p>
      <w:pPr>
        <w:pStyle w:val="TextBody"/>
        <w:numPr>
          <w:ilvl w:val="0"/>
          <w:numId w:val="3"/>
        </w:numPr>
        <w:bidi w:val="0"/>
        <w:jc w:val="left"/>
        <w:rPr/>
      </w:pPr>
      <w:r>
        <w:rPr/>
        <w:t>Descriptive statistics</w:t>
      </w:r>
    </w:p>
    <w:p>
      <w:pPr>
        <w:pStyle w:val="TextBody"/>
        <w:numPr>
          <w:ilvl w:val="0"/>
          <w:numId w:val="3"/>
        </w:numPr>
        <w:bidi w:val="0"/>
        <w:jc w:val="left"/>
        <w:rPr/>
      </w:pPr>
      <w:r>
        <w:rPr/>
        <w:t>Phylogenetic analysis</w:t>
      </w:r>
    </w:p>
    <w:p>
      <w:pPr>
        <w:pStyle w:val="TextBody"/>
        <w:numPr>
          <w:ilvl w:val="0"/>
          <w:numId w:val="3"/>
        </w:numPr>
        <w:bidi w:val="0"/>
        <w:jc w:val="left"/>
        <w:rPr/>
      </w:pPr>
      <w:r>
        <w:rPr/>
        <w:t>3D Modeling of selected proteins</w:t>
      </w:r>
    </w:p>
    <w:p>
      <w:pPr>
        <w:pStyle w:val="TextBody"/>
        <w:numPr>
          <w:ilvl w:val="0"/>
          <w:numId w:val="3"/>
        </w:numPr>
        <w:bidi w:val="0"/>
        <w:jc w:val="left"/>
        <w:rPr/>
      </w:pPr>
      <w:r>
        <w:rPr/>
        <w:t>Results aggregation</w:t>
      </w:r>
    </w:p>
    <w:p>
      <w:pPr>
        <w:pStyle w:val="TextBody"/>
        <w:bidi w:val="0"/>
        <w:jc w:val="left"/>
        <w:rPr/>
      </w:pPr>
      <w:r>
        <w:rPr/>
        <w:t>All pipelines are embedded in Docker images. Containers are run by natively installed Nextflow Framework.</w:t>
      </w:r>
    </w:p>
    <w:p>
      <w:pPr>
        <w:pStyle w:val="Heading2"/>
        <w:bidi w:val="0"/>
        <w:jc w:val="left"/>
        <w:rPr/>
      </w:pPr>
      <w:bookmarkStart w:id="24" w:name="__RefHeading___Toc166_3077261986"/>
      <w:bookmarkEnd w:id="24"/>
      <w:r>
        <w:rPr/>
        <w:t>Pipelines as DAGs</w:t>
      </w:r>
    </w:p>
    <w:p>
      <w:pPr>
        <w:pStyle w:val="TextBody"/>
        <w:bidi w:val="0"/>
        <w:jc w:val="left"/>
        <w:rPr/>
      </w:pPr>
      <w:r>
        <w:rPr/>
        <w:t>Each Nextflow module consists of four basic sections:</w:t>
      </w:r>
    </w:p>
    <w:p>
      <w:pPr>
        <w:pStyle w:val="TextBody"/>
        <w:numPr>
          <w:ilvl w:val="0"/>
          <w:numId w:val="4"/>
        </w:numPr>
        <w:bidi w:val="0"/>
        <w:jc w:val="left"/>
        <w:rPr/>
      </w:pPr>
      <w:r>
        <w:rPr/>
        <w:t>Module settings (meta-information, as well as the method of execution and result return)</w:t>
      </w:r>
    </w:p>
    <w:p>
      <w:pPr>
        <w:pStyle w:val="TextBody"/>
        <w:numPr>
          <w:ilvl w:val="0"/>
          <w:numId w:val="4"/>
        </w:numPr>
        <w:bidi w:val="0"/>
        <w:jc w:val="left"/>
        <w:rPr/>
      </w:pPr>
      <w:r>
        <w:rPr/>
        <w:t>Definition of input channels</w:t>
      </w:r>
    </w:p>
    <w:p>
      <w:pPr>
        <w:pStyle w:val="TextBody"/>
        <w:numPr>
          <w:ilvl w:val="0"/>
          <w:numId w:val="4"/>
        </w:numPr>
        <w:bidi w:val="0"/>
        <w:jc w:val="left"/>
        <w:rPr/>
      </w:pPr>
      <w:r>
        <w:rPr/>
        <w:t>Definition of output channels</w:t>
      </w:r>
    </w:p>
    <w:p>
      <w:pPr>
        <w:pStyle w:val="TextBody"/>
        <w:numPr>
          <w:ilvl w:val="0"/>
          <w:numId w:val="4"/>
        </w:numPr>
        <w:bidi w:val="0"/>
        <w:jc w:val="left"/>
        <w:rPr/>
      </w:pPr>
      <w:r>
        <w:rPr/>
        <w:t>Script executing the task (process)</w:t>
      </w:r>
    </w:p>
    <w:p>
      <w:pPr>
        <w:pStyle w:val="TextBody"/>
        <w:bidi w:val="0"/>
        <w:jc w:val="left"/>
        <w:rPr/>
      </w:pPr>
      <w:r>
        <w:rPr/>
        <w:t>Taka organizacja pozwala na łączenie modułów w dowolnych kombinacjach, o ile wyjście jednego modułu jest kompatybilne z wyjściem drugiego modułu. Połączone moduły tworzą acykliczny graf skierowany (tzw. DAG). Grafy te wygodnie jest przedstawiać w formie graficznej, dzięki czemu można z łatwo prześledzić proces analizy danych. Poniższe 6 stron zawiera wszystkie 6 pipelineów w formie DAG'ów. Na przedstawionych grafikach owale reprezentują procesy, zaś linie je łączące kanały przepływu danych.</w:t>
      </w:r>
    </w:p>
    <w:p>
      <w:pPr>
        <w:pStyle w:val="Heading2"/>
        <w:bidi w:val="0"/>
        <w:jc w:val="left"/>
        <w:rPr/>
      </w:pPr>
      <w:bookmarkStart w:id="25" w:name="__RefHeading___Toc168_3077261986"/>
      <w:bookmarkEnd w:id="25"/>
      <w:r>
        <w:rPr/>
        <w:t>Flowcharts</w:t>
      </w:r>
    </w:p>
    <w:p>
      <w:pPr>
        <w:pStyle w:val="TextBody"/>
        <w:bidi w:val="0"/>
        <w:jc w:val="left"/>
        <w:rPr/>
      </w:pPr>
      <w:r>
        <w:rPr/>
        <w:t>Following section contain all pipelines depicted as DAG graphs.</w:t>
      </w:r>
      <w:r>
        <w:br w:type="page"/>
      </w:r>
    </w:p>
    <w:p>
      <w:pPr>
        <w:pStyle w:val="Heading3"/>
        <w:bidi w:val="0"/>
        <w:jc w:val="left"/>
        <w:rPr/>
      </w:pPr>
      <w:bookmarkStart w:id="26" w:name="__RefHeading___Toc170_3077261986"/>
      <w:bookmarkEnd w:id="26"/>
      <w:r>
        <w:rPr/>
        <w:t>Illumina Sars-CoV-2 Flowchart</w:t>
      </w:r>
    </w:p>
    <w:p>
      <w:pPr>
        <w:pStyle w:val="TextBody"/>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989070" cy="8460105"/>
            <wp:effectExtent l="0" t="0" r="0" b="0"/>
            <wp:wrapSquare wrapText="largest"/>
            <wp:docPr id="2" name="Image2-illumina-sars-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illumina-sars-flowchart" descr=""/>
                    <pic:cNvPicPr>
                      <a:picLocks noChangeAspect="1" noChangeArrowheads="1"/>
                    </pic:cNvPicPr>
                  </pic:nvPicPr>
                  <pic:blipFill>
                    <a:blip r:embed="rId8"/>
                    <a:stretch>
                      <a:fillRect/>
                    </a:stretch>
                  </pic:blipFill>
                  <pic:spPr bwMode="auto">
                    <a:xfrm>
                      <a:off x="0" y="0"/>
                      <a:ext cx="3989070" cy="8460105"/>
                    </a:xfrm>
                    <a:prstGeom prst="rect">
                      <a:avLst/>
                    </a:prstGeom>
                  </pic:spPr>
                </pic:pic>
              </a:graphicData>
            </a:graphic>
          </wp:anchor>
        </w:drawing>
      </w:r>
      <w:r>
        <w:br w:type="page"/>
      </w:r>
    </w:p>
    <w:p>
      <w:pPr>
        <w:pStyle w:val="Heading3"/>
        <w:bidi w:val="0"/>
        <w:jc w:val="left"/>
        <w:rPr/>
      </w:pPr>
      <w:bookmarkStart w:id="27" w:name="__RefHeading___Toc172_3077261986"/>
      <w:bookmarkEnd w:id="27"/>
      <w:r>
        <w:rPr/>
        <w:t>Illumina Influenza Flowchart</w:t>
      </w:r>
    </w:p>
    <w:p>
      <w:pPr>
        <w:pStyle w:val="TextBody"/>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28665" cy="8460105"/>
            <wp:effectExtent l="0" t="0" r="0" b="0"/>
            <wp:wrapSquare wrapText="largest"/>
            <wp:docPr id="3" name="Image3-illumina-infl-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illumina-infl-flowchart" descr=""/>
                    <pic:cNvPicPr>
                      <a:picLocks noChangeAspect="1" noChangeArrowheads="1"/>
                    </pic:cNvPicPr>
                  </pic:nvPicPr>
                  <pic:blipFill>
                    <a:blip r:embed="rId9"/>
                    <a:stretch>
                      <a:fillRect/>
                    </a:stretch>
                  </pic:blipFill>
                  <pic:spPr bwMode="auto">
                    <a:xfrm>
                      <a:off x="0" y="0"/>
                      <a:ext cx="5828665" cy="8460105"/>
                    </a:xfrm>
                    <a:prstGeom prst="rect">
                      <a:avLst/>
                    </a:prstGeom>
                  </pic:spPr>
                </pic:pic>
              </a:graphicData>
            </a:graphic>
          </wp:anchor>
        </w:drawing>
      </w:r>
      <w:r>
        <w:br w:type="page"/>
      </w:r>
    </w:p>
    <w:p>
      <w:pPr>
        <w:pStyle w:val="Heading3"/>
        <w:bidi w:val="0"/>
        <w:jc w:val="left"/>
        <w:rPr/>
      </w:pPr>
      <w:bookmarkStart w:id="28" w:name="__RefHeading___Toc174_3077261986"/>
      <w:bookmarkEnd w:id="28"/>
      <w:r>
        <w:rPr/>
        <w:t>Illumina RSV Flowchart</w:t>
      </w:r>
    </w:p>
    <w:p>
      <w:pPr>
        <w:pStyle w:val="TextBody"/>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771775" cy="8460105"/>
            <wp:effectExtent l="0" t="0" r="0" b="0"/>
            <wp:wrapSquare wrapText="largest"/>
            <wp:docPr id="4" name="Image4-illumina-rsv-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illumina-rsv-flowchart" descr=""/>
                    <pic:cNvPicPr>
                      <a:picLocks noChangeAspect="1" noChangeArrowheads="1"/>
                    </pic:cNvPicPr>
                  </pic:nvPicPr>
                  <pic:blipFill>
                    <a:blip r:embed="rId10"/>
                    <a:stretch>
                      <a:fillRect/>
                    </a:stretch>
                  </pic:blipFill>
                  <pic:spPr bwMode="auto">
                    <a:xfrm>
                      <a:off x="0" y="0"/>
                      <a:ext cx="2771775" cy="8460105"/>
                    </a:xfrm>
                    <a:prstGeom prst="rect">
                      <a:avLst/>
                    </a:prstGeom>
                  </pic:spPr>
                </pic:pic>
              </a:graphicData>
            </a:graphic>
          </wp:anchor>
        </w:drawing>
      </w:r>
      <w:r>
        <w:br w:type="page"/>
      </w:r>
    </w:p>
    <w:p>
      <w:pPr>
        <w:pStyle w:val="Heading3"/>
        <w:bidi w:val="0"/>
        <w:jc w:val="left"/>
        <w:rPr/>
      </w:pPr>
      <w:bookmarkStart w:id="29" w:name="__RefHeading___Toc176_3077261986"/>
      <w:bookmarkEnd w:id="29"/>
      <w:r>
        <w:rPr/>
        <w:t>Nanopore Sars-CoV-2 Flowchart</w:t>
      </w:r>
    </w:p>
    <w:p>
      <w:pPr>
        <w:pStyle w:val="TextBody"/>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265930" cy="8460105"/>
            <wp:effectExtent l="0" t="0" r="0" b="0"/>
            <wp:wrapSquare wrapText="largest"/>
            <wp:docPr id="5" name="Image5-nanopore-sars-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nanopore-sars-flowchart" descr=""/>
                    <pic:cNvPicPr>
                      <a:picLocks noChangeAspect="1" noChangeArrowheads="1"/>
                    </pic:cNvPicPr>
                  </pic:nvPicPr>
                  <pic:blipFill>
                    <a:blip r:embed="rId11"/>
                    <a:stretch>
                      <a:fillRect/>
                    </a:stretch>
                  </pic:blipFill>
                  <pic:spPr bwMode="auto">
                    <a:xfrm>
                      <a:off x="0" y="0"/>
                      <a:ext cx="4265930" cy="8460105"/>
                    </a:xfrm>
                    <a:prstGeom prst="rect">
                      <a:avLst/>
                    </a:prstGeom>
                  </pic:spPr>
                </pic:pic>
              </a:graphicData>
            </a:graphic>
          </wp:anchor>
        </w:drawing>
      </w:r>
      <w:r>
        <w:br w:type="page"/>
      </w:r>
    </w:p>
    <w:p>
      <w:pPr>
        <w:pStyle w:val="Heading3"/>
        <w:bidi w:val="0"/>
        <w:jc w:val="left"/>
        <w:rPr/>
      </w:pPr>
      <w:bookmarkStart w:id="30" w:name="__RefHeading___Toc178_3077261986"/>
      <w:bookmarkEnd w:id="30"/>
      <w:r>
        <w:rPr/>
        <w:t>Nanopore Influenza Flowchart</w:t>
      </w:r>
    </w:p>
    <w:p>
      <w:pPr>
        <w:pStyle w:val="TextBody"/>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632200" cy="8460105"/>
            <wp:effectExtent l="0" t="0" r="0" b="0"/>
            <wp:wrapSquare wrapText="largest"/>
            <wp:docPr id="6" name="Image6-nanopore-infl-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nanopore-infl-flowchart" descr=""/>
                    <pic:cNvPicPr>
                      <a:picLocks noChangeAspect="1" noChangeArrowheads="1"/>
                    </pic:cNvPicPr>
                  </pic:nvPicPr>
                  <pic:blipFill>
                    <a:blip r:embed="rId12"/>
                    <a:stretch>
                      <a:fillRect/>
                    </a:stretch>
                  </pic:blipFill>
                  <pic:spPr bwMode="auto">
                    <a:xfrm>
                      <a:off x="0" y="0"/>
                      <a:ext cx="3632200" cy="8460105"/>
                    </a:xfrm>
                    <a:prstGeom prst="rect">
                      <a:avLst/>
                    </a:prstGeom>
                  </pic:spPr>
                </pic:pic>
              </a:graphicData>
            </a:graphic>
          </wp:anchor>
        </w:drawing>
      </w:r>
      <w:r>
        <w:br w:type="page"/>
      </w:r>
    </w:p>
    <w:p>
      <w:pPr>
        <w:pStyle w:val="Heading3"/>
        <w:bidi w:val="0"/>
        <w:jc w:val="left"/>
        <w:rPr/>
      </w:pPr>
      <w:bookmarkStart w:id="31" w:name="__RefHeading___Toc180_3077261986"/>
      <w:bookmarkEnd w:id="31"/>
      <w:r>
        <w:rPr/>
        <w:t>Nanopore RSV Flowchart</w:t>
      </w:r>
    </w:p>
    <w:p>
      <w:pPr>
        <w:pStyle w:val="TextBody"/>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81450" cy="8460105"/>
            <wp:effectExtent l="0" t="0" r="0" b="0"/>
            <wp:wrapSquare wrapText="largest"/>
            <wp:docPr id="7" name="Image7-nanopore-rsv-flowchar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nanopore-rsv-flowchart" descr=""/>
                    <pic:cNvPicPr>
                      <a:picLocks noChangeAspect="1" noChangeArrowheads="1"/>
                    </pic:cNvPicPr>
                  </pic:nvPicPr>
                  <pic:blipFill>
                    <a:blip r:embed="rId13"/>
                    <a:stretch>
                      <a:fillRect/>
                    </a:stretch>
                  </pic:blipFill>
                  <pic:spPr bwMode="auto">
                    <a:xfrm>
                      <a:off x="0" y="0"/>
                      <a:ext cx="3981450" cy="8460105"/>
                    </a:xfrm>
                    <a:prstGeom prst="rect">
                      <a:avLst/>
                    </a:prstGeom>
                  </pic:spPr>
                </pic:pic>
              </a:graphicData>
            </a:graphic>
          </wp:anchor>
        </w:drawing>
      </w:r>
      <w:r>
        <w:br w:type="page"/>
      </w:r>
    </w:p>
    <w:p>
      <w:pPr>
        <w:pStyle w:val="Heading1"/>
        <w:bidi w:val="0"/>
        <w:jc w:val="left"/>
        <w:rPr/>
      </w:pPr>
      <w:bookmarkStart w:id="32" w:name="__RefHeading___Toc137_3077261986"/>
      <w:bookmarkStart w:id="33" w:name="_toc343"/>
      <w:bookmarkEnd w:id="32"/>
      <w:bookmarkEnd w:id="33"/>
      <w:r>
        <w:rPr/>
        <w:t>External Databases</w:t>
      </w:r>
    </w:p>
    <w:p>
      <w:pPr>
        <w:pStyle w:val="TextBody"/>
        <w:bidi w:val="0"/>
        <w:jc w:val="left"/>
        <w:rPr/>
      </w:pPr>
      <w:r>
        <w:rPr/>
        <w:t>Some components of the pipeline require access to their two databases, which are updated roughly once every two weeks. Different software pieces need to be updated in different ways. To make this process as smooth and painless as possible, we prepared a dedicated Docker container exactly for this task, along with a bash script for running it with appropriate volume mounts. The script should be placed in either the cron or systemd timer and run on a weekly basis.</w:t>
      </w:r>
    </w:p>
    <w:p>
      <w:pPr>
        <w:pStyle w:val="Heading2"/>
        <w:bidi w:val="0"/>
        <w:jc w:val="left"/>
        <w:rPr/>
      </w:pPr>
      <w:bookmarkStart w:id="34" w:name="__RefHeading___Toc182_3077261986"/>
      <w:bookmarkEnd w:id="34"/>
      <w:r>
        <w:rPr/>
        <w:t>Updates procedure</w:t>
      </w:r>
    </w:p>
    <w:p>
      <w:pPr>
        <w:pStyle w:val="TextBody"/>
        <w:bidi w:val="0"/>
        <w:jc w:val="left"/>
        <w:rPr/>
      </w:pPr>
      <w:r>
        <w:rPr/>
        <w:t>Build the dedicated container:</w:t>
      </w:r>
    </w:p>
    <w:p>
      <w:pPr>
        <w:pStyle w:val="Codebox"/>
        <w:shd w:val="clear" w:fill="EEEEEE"/>
        <w:bidi w:val="0"/>
        <w:spacing w:before="57" w:after="57"/>
        <w:ind w:left="643" w:right="0" w:hanging="0"/>
        <w:jc w:val="left"/>
        <w:rPr/>
      </w:pPr>
      <w:r>
        <w:rPr/>
        <w:t>docker build --target updater -f Dockerfile-main -t nf_illumina_sars-4.1-updater:latest .</w:t>
      </w:r>
    </w:p>
    <w:p>
      <w:pPr>
        <w:pStyle w:val="TextBody"/>
        <w:bidi w:val="0"/>
        <w:jc w:val="left"/>
        <w:rPr/>
      </w:pPr>
      <w:r>
        <w:rPr/>
        <w:t>Run the updater script. The working dir must be in project root directory.</w:t>
      </w:r>
    </w:p>
    <w:p>
      <w:pPr>
        <w:pStyle w:val="Codebox"/>
        <w:shd w:val="clear" w:fill="EEEEEE"/>
        <w:bidi w:val="0"/>
        <w:spacing w:before="57" w:after="57"/>
        <w:ind w:left="643" w:right="0" w:hanging="0"/>
        <w:jc w:val="left"/>
        <w:rPr/>
      </w:pPr>
      <w:r>
        <w:rPr/>
        <w:t>update_external_databases.sh nextclade</w:t>
      </w:r>
    </w:p>
    <w:p>
      <w:pPr>
        <w:pStyle w:val="Codebox"/>
        <w:shd w:val="clear" w:fill="EEEEEE"/>
        <w:bidi w:val="0"/>
        <w:spacing w:before="57" w:after="57"/>
        <w:ind w:left="643" w:right="0" w:hanging="0"/>
        <w:jc w:val="left"/>
        <w:rPr/>
      </w:pPr>
      <w:r>
        <w:rPr/>
        <w:t>update_external_databases.sh pangolin</w:t>
      </w:r>
    </w:p>
    <w:p>
      <w:pPr>
        <w:pStyle w:val="Codebox"/>
        <w:shd w:val="clear" w:fill="EEEEEE"/>
        <w:bidi w:val="0"/>
        <w:spacing w:before="57" w:after="57"/>
        <w:ind w:left="643" w:right="0" w:hanging="0"/>
        <w:jc w:val="left"/>
        <w:rPr/>
      </w:pPr>
      <w:r>
        <w:rPr/>
        <w:t>update_external_databases.sh kraken</w:t>
      </w:r>
    </w:p>
    <w:p>
      <w:pPr>
        <w:pStyle w:val="Codebox"/>
        <w:shd w:val="clear" w:fill="EEEEEE"/>
        <w:bidi w:val="0"/>
        <w:spacing w:before="57" w:after="57"/>
        <w:ind w:left="643" w:right="0" w:hanging="0"/>
        <w:jc w:val="left"/>
        <w:rPr/>
      </w:pPr>
      <w:r>
        <w:rPr/>
        <w:t>update_external_databases.sh freyja</w:t>
      </w:r>
    </w:p>
    <w:p>
      <w:pPr>
        <w:pStyle w:val="TextBody"/>
        <w:bidi w:val="0"/>
        <w:jc w:val="left"/>
        <w:rPr/>
      </w:pPr>
      <w:r>
        <w:rPr/>
        <w:t>Total size of downloads is 80.8 GiB.</w:t>
      </w:r>
    </w:p>
    <w:tbl>
      <w:tblPr>
        <w:tblW w:w="5000" w:type="pct"/>
        <w:jc w:val="left"/>
        <w:tblInd w:w="5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shd w:fill="EEEEEE" w:val="clear"/>
          </w:tcPr>
          <w:p>
            <w:pPr>
              <w:pStyle w:val="TableContents"/>
              <w:widowControl w:val="false"/>
              <w:bidi w:val="0"/>
              <w:jc w:val="left"/>
              <w:rPr>
                <w:b/>
                <w:b/>
                <w:bCs/>
              </w:rPr>
            </w:pPr>
            <w:r>
              <w:rPr>
                <w:b/>
                <w:bCs/>
              </w:rPr>
              <w:t>Database</w:t>
            </w:r>
          </w:p>
        </w:tc>
        <w:tc>
          <w:tcPr>
            <w:tcW w:w="4819" w:type="dxa"/>
            <w:tcBorders>
              <w:top w:val="single" w:sz="4" w:space="0" w:color="000000"/>
              <w:left w:val="single" w:sz="4" w:space="0" w:color="000000"/>
              <w:bottom w:val="single" w:sz="4" w:space="0" w:color="000000"/>
              <w:right w:val="single" w:sz="4" w:space="0" w:color="000000"/>
            </w:tcBorders>
            <w:shd w:fill="EEEEEE" w:val="clear"/>
          </w:tcPr>
          <w:p>
            <w:pPr>
              <w:pStyle w:val="TableContents"/>
              <w:widowControl w:val="false"/>
              <w:bidi w:val="0"/>
              <w:jc w:val="left"/>
              <w:rPr>
                <w:b/>
                <w:b/>
                <w:bCs/>
              </w:rPr>
            </w:pPr>
            <w:r>
              <w:rPr>
                <w:b/>
                <w:bCs/>
              </w:rPr>
              <w:t>Size</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pangolin</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90.2 MiB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nextclade</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19.5 MiB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kraken2</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80.5 GiB</w:t>
            </w:r>
          </w:p>
        </w:tc>
      </w:tr>
      <w:tr>
        <w:trPr/>
        <w:tc>
          <w:tcPr>
            <w:tcW w:w="4818" w:type="dxa"/>
            <w:tcBorders>
              <w:left w:val="single" w:sz="4" w:space="0" w:color="000000"/>
              <w:bottom w:val="single" w:sz="4" w:space="0" w:color="000000"/>
            </w:tcBorders>
          </w:tcPr>
          <w:p>
            <w:pPr>
              <w:pStyle w:val="TableContents"/>
              <w:widowControl w:val="false"/>
              <w:suppressLineNumbers/>
              <w:bidi w:val="0"/>
              <w:jc w:val="left"/>
              <w:rPr/>
            </w:pPr>
            <w:r>
              <w:rPr/>
              <w:t>freyja</w:t>
            </w:r>
          </w:p>
        </w:tc>
        <w:tc>
          <w:tcPr>
            <w:tcW w:w="4819" w:type="dxa"/>
            <w:tcBorders>
              <w:left w:val="single" w:sz="4" w:space="0" w:color="000000"/>
              <w:bottom w:val="single" w:sz="4" w:space="0" w:color="000000"/>
              <w:right w:val="single" w:sz="4" w:space="0" w:color="000000"/>
            </w:tcBorders>
          </w:tcPr>
          <w:p>
            <w:pPr>
              <w:pStyle w:val="TableContents"/>
              <w:widowControl w:val="false"/>
              <w:suppressLineNumbers/>
              <w:bidi w:val="0"/>
              <w:jc w:val="left"/>
              <w:rPr/>
            </w:pPr>
            <w:r>
              <w:rPr/>
              <w:t>113.4 MiB</w:t>
            </w:r>
          </w:p>
        </w:tc>
      </w:tr>
      <w:tr>
        <w:trPr/>
        <w:tc>
          <w:tcPr>
            <w:tcW w:w="4818" w:type="dxa"/>
            <w:tcBorders>
              <w:left w:val="single" w:sz="4" w:space="0" w:color="000000"/>
              <w:bottom w:val="single" w:sz="4" w:space="0" w:color="000000"/>
            </w:tcBorders>
          </w:tcPr>
          <w:p>
            <w:pPr>
              <w:pStyle w:val="TableContents"/>
              <w:widowControl w:val="false"/>
              <w:bidi w:val="0"/>
              <w:jc w:val="left"/>
              <w:rPr>
                <w:b/>
                <w:b/>
                <w:bCs/>
              </w:rPr>
            </w:pPr>
            <w:r>
              <w:rPr>
                <w:b/>
                <w:bCs/>
              </w:rPr>
              <w:t>Total</w:t>
            </w:r>
          </w:p>
        </w:tc>
        <w:tc>
          <w:tcPr>
            <w:tcW w:w="4819" w:type="dxa"/>
            <w:tcBorders>
              <w:left w:val="single" w:sz="4" w:space="0" w:color="000000"/>
              <w:bottom w:val="single" w:sz="4" w:space="0" w:color="000000"/>
              <w:right w:val="single" w:sz="4" w:space="0" w:color="000000"/>
            </w:tcBorders>
          </w:tcPr>
          <w:p>
            <w:pPr>
              <w:pStyle w:val="TableContents"/>
              <w:widowControl w:val="false"/>
              <w:bidi w:val="0"/>
              <w:jc w:val="left"/>
              <w:rPr>
                <w:b/>
                <w:b/>
                <w:bCs/>
              </w:rPr>
            </w:pPr>
            <w:r>
              <w:rPr>
                <w:b/>
                <w:bCs/>
              </w:rPr>
              <w:t>80.8 GiB</w:t>
            </w:r>
          </w:p>
        </w:tc>
      </w:tr>
    </w:tbl>
    <w:p>
      <w:pPr>
        <w:pStyle w:val="Normal"/>
        <w:rPr/>
      </w:pPr>
      <w:r>
        <w:rPr/>
      </w:r>
    </w:p>
    <w:p>
      <w:pPr>
        <w:pStyle w:val="Normal"/>
        <w:rPr/>
      </w:pPr>
      <w:r>
        <w:rPr/>
        <w:t xml:space="preserve">If everything work fine in directories data\pangolin and </w:t>
      </w:r>
      <w:r>
        <w:rPr>
          <w:rStyle w:val="Path"/>
        </w:rPr>
        <w:t>data\nextclade</w:t>
      </w:r>
      <w:r>
        <w:rPr/>
        <w:t xml:space="preserve"> you should see downloaded content like below:</w:t>
      </w:r>
    </w:p>
    <w:p>
      <w:pPr>
        <w:pStyle w:val="Codebox"/>
        <w:ind w:left="643" w:right="0" w:hanging="0"/>
        <w:rPr/>
      </w:pPr>
      <w:r>
        <w:rPr/>
        <w:t>data/nextclade/</w:t>
      </w:r>
    </w:p>
    <w:p>
      <w:pPr>
        <w:pStyle w:val="Codebox"/>
        <w:ind w:left="643" w:right="0" w:hanging="0"/>
        <w:rPr/>
      </w:pPr>
      <w:r>
        <w:rPr/>
        <w:t xml:space="preserve">└── </w:t>
      </w:r>
      <w:r>
        <w:rPr/>
        <w:t>sars-cov-2.zip</w:t>
      </w:r>
    </w:p>
    <w:p>
      <w:pPr>
        <w:pStyle w:val="Codebox"/>
        <w:ind w:left="643" w:right="0" w:hanging="0"/>
        <w:rPr/>
      </w:pPr>
      <w:r>
        <w:rPr/>
        <w:t>data/pangolin/</w:t>
      </w:r>
    </w:p>
    <w:p>
      <w:pPr>
        <w:pStyle w:val="Codebox"/>
        <w:ind w:left="643" w:right="0" w:hanging="0"/>
        <w:rPr/>
      </w:pPr>
      <w:r>
        <w:rPr/>
        <w:t xml:space="preserve">├── </w:t>
      </w:r>
      <w:r>
        <w:rPr/>
        <w:t>bin</w:t>
      </w:r>
    </w:p>
    <w:p>
      <w:pPr>
        <w:pStyle w:val="Codebox"/>
        <w:ind w:left="643" w:right="0" w:hanging="0"/>
        <w:rPr/>
      </w:pPr>
      <w:r>
        <w:rPr/>
        <w:t xml:space="preserve">├── </w:t>
      </w:r>
      <w:r>
        <w:rPr/>
        <w:t>pangolin_data</w:t>
      </w:r>
    </w:p>
    <w:p>
      <w:pPr>
        <w:pStyle w:val="Codebox"/>
        <w:ind w:left="643" w:right="0" w:hanging="0"/>
        <w:rPr/>
      </w:pPr>
      <w:r>
        <w:rPr/>
        <w:t xml:space="preserve">└── </w:t>
      </w:r>
      <w:r>
        <w:rPr/>
        <w:t>pangolin_data-1.25.1.dist-info</w:t>
      </w:r>
    </w:p>
    <w:p>
      <w:pPr>
        <w:pStyle w:val="Codebox"/>
        <w:ind w:left="643" w:right="0" w:hanging="0"/>
        <w:rPr/>
      </w:pPr>
      <w:r>
        <w:rPr/>
        <w:t>data/kraken</w:t>
      </w:r>
    </w:p>
    <w:p>
      <w:pPr>
        <w:pStyle w:val="Codebox"/>
        <w:ind w:left="643" w:right="0" w:hanging="0"/>
        <w:rPr/>
      </w:pPr>
      <w:r>
        <w:rPr/>
        <w:t xml:space="preserve">└── </w:t>
      </w:r>
      <w:r>
        <w:rPr/>
        <w:t>k2_standard_20240112.tar.gz</w:t>
      </w:r>
    </w:p>
    <w:p>
      <w:pPr>
        <w:pStyle w:val="Codebox"/>
        <w:ind w:left="643" w:right="0" w:hanging="0"/>
        <w:rPr/>
      </w:pPr>
      <w:r>
        <w:rPr/>
        <w:t>data/freyja/</w:t>
      </w:r>
    </w:p>
    <w:p>
      <w:pPr>
        <w:pStyle w:val="Codebox"/>
        <w:ind w:left="643" w:right="0" w:hanging="0"/>
        <w:rPr/>
      </w:pPr>
      <w:r>
        <w:rPr/>
        <w:t xml:space="preserve">├── </w:t>
      </w:r>
      <w:r>
        <w:rPr/>
        <w:t>curated_lineages.json</w:t>
      </w:r>
    </w:p>
    <w:p>
      <w:pPr>
        <w:pStyle w:val="Codebox"/>
        <w:ind w:left="643" w:right="0" w:hanging="0"/>
        <w:rPr/>
      </w:pPr>
      <w:r>
        <w:rPr/>
        <w:t xml:space="preserve">├── </w:t>
      </w:r>
      <w:r>
        <w:rPr/>
        <w:t>lineages.yml</w:t>
      </w:r>
    </w:p>
    <w:p>
      <w:pPr>
        <w:pStyle w:val="Codebox"/>
        <w:ind w:left="643" w:right="0" w:hanging="0"/>
        <w:rPr/>
      </w:pPr>
      <w:r>
        <w:rPr/>
        <w:t xml:space="preserve">└── </w:t>
      </w:r>
      <w:r>
        <w:rPr/>
        <w:t>usher_barcodes.csv</w:t>
      </w:r>
    </w:p>
    <w:p>
      <w:pPr>
        <w:pStyle w:val="TextBody"/>
        <w:rPr/>
      </w:pPr>
      <w:r>
        <w:rPr/>
        <w:t>It is recommended to put the following in crontab or equivalently systemd timer.</w:t>
      </w:r>
    </w:p>
    <w:p>
      <w:pPr>
        <w:pStyle w:val="Codebox"/>
        <w:ind w:left="643" w:right="0" w:hanging="0"/>
        <w:rPr/>
      </w:pPr>
      <w:r>
        <w:rPr/>
        <w:t>0 3 * * 6 cd /path/to/sars-illumina &amp;&amp; bin/update_external_databases.sh nextclade</w:t>
      </w:r>
    </w:p>
    <w:p>
      <w:pPr>
        <w:pStyle w:val="Codebox"/>
        <w:ind w:left="643" w:right="0" w:hanging="0"/>
        <w:rPr/>
      </w:pPr>
      <w:r>
        <w:rPr/>
        <w:t>5 3 * * 6 cd /path/to/sars-illumina &amp;&amp; bin/update_external_databases.sh pangolin</w:t>
      </w:r>
    </w:p>
    <w:p>
      <w:pPr>
        <w:pStyle w:val="Codebox"/>
        <w:ind w:left="643" w:right="0" w:hanging="0"/>
        <w:rPr/>
      </w:pPr>
      <w:r>
        <w:rPr/>
        <w:t>10 3 * * 6 cd /path/to/sars-illumina &amp;&amp; bin/update_external_databases.sh freyja</w:t>
      </w:r>
    </w:p>
    <w:p>
      <w:pPr>
        <w:pStyle w:val="Codebox"/>
        <w:ind w:left="643" w:right="0" w:hanging="0"/>
        <w:rPr/>
      </w:pPr>
      <w:r>
        <w:rPr/>
        <w:t>15 3 1 */3 * cd /path/to/sars-illumina &amp;&amp; bin/update_external_databases.sh kraken</w:t>
      </w:r>
    </w:p>
    <w:p>
      <w:pPr>
        <w:pStyle w:val="Heading2"/>
        <w:rPr/>
      </w:pPr>
      <w:bookmarkStart w:id="35" w:name="__RefHeading___Toc839_1555702251"/>
      <w:bookmarkEnd w:id="35"/>
      <w:r>
        <w:rPr/>
        <w:t>Updates internals</w:t>
      </w:r>
    </w:p>
    <w:p>
      <w:pPr>
        <w:pStyle w:val="TextBody"/>
        <w:rPr/>
      </w:pPr>
      <w:r>
        <w:rPr/>
        <w:t>The following section contain information what and how is updated. Unless you need to debug or refactor the code, and you followed guides in chapter Updates procedure ("Updates procedure" in "External databases updates") you can safely skip it. List of modules that require regular updates</w:t>
      </w:r>
    </w:p>
    <w:p>
      <w:pPr>
        <w:pStyle w:val="List"/>
        <w:numPr>
          <w:ilvl w:val="0"/>
          <w:numId w:val="5"/>
        </w:numPr>
        <w:rPr/>
      </w:pPr>
      <w:r>
        <w:rPr/>
        <w:t>Nextclade</w:t>
      </w:r>
    </w:p>
    <w:p>
      <w:pPr>
        <w:pStyle w:val="List"/>
        <w:numPr>
          <w:ilvl w:val="0"/>
          <w:numId w:val="5"/>
        </w:numPr>
        <w:rPr/>
      </w:pPr>
      <w:r>
        <w:rPr/>
        <w:t>Pangolin</w:t>
      </w:r>
    </w:p>
    <w:p>
      <w:pPr>
        <w:pStyle w:val="List"/>
        <w:numPr>
          <w:ilvl w:val="0"/>
          <w:numId w:val="5"/>
        </w:numPr>
        <w:rPr/>
      </w:pPr>
      <w:r>
        <w:rPr/>
        <w:t>Kraken</w:t>
      </w:r>
    </w:p>
    <w:p>
      <w:pPr>
        <w:pStyle w:val="List"/>
        <w:numPr>
          <w:ilvl w:val="0"/>
          <w:numId w:val="5"/>
        </w:numPr>
        <w:rPr/>
      </w:pPr>
      <w:r>
        <w:rPr/>
        <w:t>Freyja</w:t>
      </w:r>
    </w:p>
    <w:p>
      <w:pPr>
        <w:pStyle w:val="Heading3"/>
        <w:rPr/>
      </w:pPr>
      <w:bookmarkStart w:id="36" w:name="__RefHeading___Toc841_1555702251"/>
      <w:bookmarkEnd w:id="36"/>
      <w:r>
        <w:rPr/>
        <w:t>Updating Nextclade database</w:t>
      </w:r>
    </w:p>
    <w:p>
      <w:pPr>
        <w:pStyle w:val="List"/>
        <w:rPr/>
      </w:pPr>
      <w:r>
        <w:rPr/>
        <w:t>Nextclade (</w:t>
      </w:r>
      <w:hyperlink r:id="rId14">
        <w:r>
          <w:rPr>
            <w:rStyle w:val="InternetLink"/>
          </w:rPr>
          <w:t>https://docs.nextstrain.org/projects/nextclade/</w:t>
        </w:r>
      </w:hyperlink>
      <w:r>
        <w:rPr/>
        <w:t>) is software for assigning evolutionary lineage to SARS-Cov2. To make it work properly, it requires a database which is updated roughly once every two weeks.</w:t>
      </w:r>
    </w:p>
    <w:p>
      <w:pPr>
        <w:pStyle w:val="List"/>
        <w:rPr/>
      </w:pPr>
      <w:r>
        <w:rPr/>
        <w:t>The recommended way of downloading dataset is using nxtclade tool.</w:t>
      </w:r>
    </w:p>
    <w:p>
      <w:pPr>
        <w:pStyle w:val="Codebox"/>
        <w:ind w:left="643" w:right="0" w:hanging="0"/>
        <w:rPr/>
      </w:pPr>
      <w:r>
        <w:rPr/>
        <w:t>nextclade dataset get --name sars-cov-2 --output-zip sars-cov-2.zip</w:t>
      </w:r>
    </w:p>
    <w:p>
      <w:pPr>
        <w:pStyle w:val="List"/>
        <w:rPr/>
      </w:pPr>
      <w:r>
        <w:rPr/>
        <w:t xml:space="preserve">Detailed manual is available </w:t>
      </w:r>
      <w:hyperlink r:id="rId15">
        <w:r>
          <w:rPr>
            <w:rStyle w:val="InternetLink"/>
          </w:rPr>
          <w:t>https://docs.nextstrain.org/projects/nextclade/en/stable/user/datasets.html</w:t>
        </w:r>
      </w:hyperlink>
      <w:r>
        <w:rPr/>
        <w:t>.</w:t>
      </w:r>
    </w:p>
    <w:p>
      <w:pPr>
        <w:pStyle w:val="List"/>
        <w:rPr/>
      </w:pPr>
      <w:r>
        <w:rPr/>
        <w:t xml:space="preserve">Nextclade is downloading index.json from site: </w:t>
      </w:r>
      <w:hyperlink r:id="rId16">
        <w:r>
          <w:rPr>
            <w:rStyle w:val="InternetLink"/>
          </w:rPr>
          <w:t>https://data.clades.nextstrain.org/v3/index.json</w:t>
        </w:r>
      </w:hyperlink>
      <w:r>
        <w:rPr/>
        <w:t xml:space="preserve">, and based on that files it decide what to download and from where. Probably the same data are available directly on GitHub: </w:t>
      </w:r>
      <w:hyperlink r:id="rId17">
        <w:r>
          <w:rPr>
            <w:rStyle w:val="InternetLink"/>
          </w:rPr>
          <w:t>https://github.com/nextstrain/nextclade_data/tree/master/data/nextstrain/sars-cov-2/wuhan-hu-1/orfs</w:t>
        </w:r>
      </w:hyperlink>
    </w:p>
    <w:p>
      <w:pPr>
        <w:pStyle w:val="List"/>
        <w:rPr/>
      </w:pPr>
      <w:r>
        <w:rPr/>
        <w:t xml:space="preserve">The command above will download a </w:t>
      </w:r>
      <w:r>
        <w:rPr>
          <w:rStyle w:val="Path"/>
        </w:rPr>
        <w:t>sars-cov-2.zip</w:t>
      </w:r>
      <w:r>
        <w:rPr/>
        <w:t xml:space="preserve"> file in desired destination (default: </w:t>
      </w:r>
      <w:r>
        <w:rPr>
          <w:rStyle w:val="Path"/>
        </w:rPr>
        <w:t>data/nextclade</w:t>
      </w:r>
      <w:r>
        <w:rPr/>
        <w:t xml:space="preserve">). That directory have to be mounted inside main container. It is done by Nextflow in the </w:t>
      </w:r>
      <w:r>
        <w:rPr>
          <w:rStyle w:val="Path"/>
        </w:rPr>
        <w:t>modules/nextclade.nf</w:t>
      </w:r>
      <w:r>
        <w:rPr/>
        <w:t xml:space="preserve"> module.</w:t>
      </w:r>
    </w:p>
    <w:p>
      <w:pPr>
        <w:pStyle w:val="Codebox"/>
        <w:ind w:left="643" w:right="0" w:hanging="0"/>
        <w:rPr/>
      </w:pPr>
      <w:r>
        <w:rPr/>
        <w:t>process nextclade {</w:t>
      </w:r>
    </w:p>
    <w:p>
      <w:pPr>
        <w:pStyle w:val="Codebox"/>
        <w:ind w:left="643" w:right="0" w:hanging="0"/>
        <w:rPr/>
      </w:pPr>
      <w:r>
        <w:rPr/>
        <w:t>(...)</w:t>
      </w:r>
    </w:p>
    <w:p>
      <w:pPr>
        <w:pStyle w:val="Codebox"/>
        <w:ind w:left="643" w:right="0" w:hanging="0"/>
        <w:rPr/>
      </w:pPr>
      <w:r>
        <w:rPr/>
        <w:t>containerOptions "--volume</w:t>
      </w:r>
    </w:p>
    <w:p>
      <w:pPr>
        <w:pStyle w:val="Codebox"/>
        <w:ind w:left="643" w:right="0" w:hanging="0"/>
        <w:rPr/>
      </w:pPr>
      <w:r>
        <w:rPr/>
        <w:t>${params.nextclade_db_absolute_path_on_host}:/home/SARS-</w:t>
      </w:r>
    </w:p>
    <w:p>
      <w:pPr>
        <w:pStyle w:val="Codebox"/>
        <w:ind w:left="643" w:right="0" w:hanging="0"/>
        <w:rPr/>
      </w:pPr>
      <w:r>
        <w:rPr/>
        <w:t>CoV2/nextclade_db"</w:t>
      </w:r>
    </w:p>
    <w:p>
      <w:pPr>
        <w:pStyle w:val="Codebox"/>
        <w:ind w:left="643" w:right="0" w:hanging="0"/>
        <w:rPr/>
      </w:pPr>
      <w:r>
        <w:rPr/>
        <w:t>(...)</w:t>
      </w:r>
    </w:p>
    <w:p>
      <w:pPr>
        <w:pStyle w:val="Heading3"/>
        <w:rPr/>
      </w:pPr>
      <w:bookmarkStart w:id="37" w:name="__RefHeading___Toc843_1555702251"/>
      <w:bookmarkEnd w:id="37"/>
      <w:r>
        <w:rPr/>
        <w:t>Updating Pangolin database</w:t>
      </w:r>
    </w:p>
    <w:p>
      <w:pPr>
        <w:pStyle w:val="TextBody"/>
        <w:rPr/>
      </w:pPr>
      <w:r>
        <w:rPr/>
        <w:t>Pangolin (</w:t>
      </w:r>
      <w:hyperlink r:id="rId18">
        <w:r>
          <w:rPr>
            <w:rStyle w:val="InternetLink"/>
          </w:rPr>
          <w:t>https://github.com/cov-lineages/pangolin</w:t>
        </w:r>
      </w:hyperlink>
      <w:r>
        <w:rPr/>
        <w:t>) (Phylogenetic Assignment of Named Global Outbreak LINeages) is alternative to Nextclade software for assigning evolutionary lineage to SARS-Cov2.</w:t>
      </w:r>
    </w:p>
    <w:p>
      <w:pPr>
        <w:pStyle w:val="TextBody"/>
        <w:rPr/>
      </w:pPr>
      <w:r>
        <w:rPr/>
        <w:t>To make it work properly, it requires a database that is stored in the Git repository pangolin-data (</w:t>
      </w:r>
      <w:hyperlink r:id="rId19">
        <w:r>
          <w:rPr>
            <w:rStyle w:val="InternetLink"/>
          </w:rPr>
          <w:t>https://github.com/cov-lineages/pangolin-data</w:t>
        </w:r>
      </w:hyperlink>
      <w:r>
        <w:rPr/>
        <w:t>).</w:t>
      </w:r>
    </w:p>
    <w:p>
      <w:pPr>
        <w:pStyle w:val="TextBody"/>
        <w:rPr/>
      </w:pPr>
      <w:r>
        <w:rPr/>
        <w:t xml:space="preserve">Pangolin-data is actually a regular python package. Normal update procedure is via command: </w:t>
      </w:r>
      <w:r>
        <w:rPr>
          <w:rStyle w:val="Code"/>
        </w:rPr>
        <w:t>pangolin --update-data</w:t>
      </w:r>
      <w:r>
        <w:rPr/>
        <w:t>. It also can be installed by pip command. Keeping it inside main container is slightly tricky. We don't want to rebuild entire container just to update the database. We also don't want to keep the database inside the container, because it would force us to run the update before every pipeline run, which is stupid. The best solution is to mount the database from the host.</w:t>
      </w:r>
    </w:p>
    <w:p>
      <w:pPr>
        <w:pStyle w:val="TextBody"/>
        <w:rPr/>
      </w:pPr>
      <w:r>
        <w:rPr/>
        <w:t xml:space="preserve">To achieve this goal we install the package externally to the container in designated path using host native </w:t>
      </w:r>
      <w:r>
        <w:rPr>
          <w:rStyle w:val="Code"/>
        </w:rPr>
        <w:t>pip</w:t>
      </w:r>
      <w:r>
        <w:rPr/>
        <w:t>.</w:t>
      </w:r>
    </w:p>
    <w:p>
      <w:pPr>
        <w:pStyle w:val="Codebox"/>
        <w:ind w:left="643" w:right="0" w:hanging="0"/>
        <w:rPr/>
      </w:pPr>
      <w:r>
        <w:rPr/>
        <w:t>pip install \</w:t>
      </w:r>
    </w:p>
    <w:p>
      <w:pPr>
        <w:pStyle w:val="Codebox"/>
        <w:ind w:left="643" w:right="0" w:hanging="0"/>
        <w:rPr/>
      </w:pPr>
      <w:r>
        <w:rPr/>
        <w:t>--target data/pangolin \</w:t>
      </w:r>
    </w:p>
    <w:p>
      <w:pPr>
        <w:pStyle w:val="Codebox"/>
        <w:ind w:left="643" w:right="0" w:hanging="0"/>
        <w:rPr/>
      </w:pPr>
      <w:r>
        <w:rPr/>
        <w:t>--upgrade \</w:t>
      </w:r>
    </w:p>
    <w:p>
      <w:pPr>
        <w:pStyle w:val="Codebox"/>
        <w:ind w:left="643" w:right="0" w:hanging="0"/>
        <w:rPr/>
      </w:pPr>
      <w:r>
        <w:rPr/>
        <w:t>git+https://github.com/cov-lineages/pangolin-data.git@v1.25.1</w:t>
      </w:r>
    </w:p>
    <w:p>
      <w:pPr>
        <w:pStyle w:val="Tip"/>
        <w:ind w:left="643" w:right="0" w:hanging="0"/>
        <w:rPr/>
      </w:pPr>
      <w:r>
        <w:rPr/>
        <w:t>Make sure you entered proper version in the end of git URL. The version number is also git tag. List of available tags with their release dates is here (</w:t>
      </w:r>
      <w:hyperlink r:id="rId20">
        <w:r>
          <w:rPr>
            <w:rStyle w:val="InternetLink"/>
          </w:rPr>
          <w:t>https://github.com/cov-lineages/pangolin-data/tags</w:t>
        </w:r>
      </w:hyperlink>
      <w:r>
        <w:rPr/>
        <w:t>).</w:t>
      </w:r>
    </w:p>
    <w:p>
      <w:pPr>
        <w:pStyle w:val="TextBody"/>
        <w:rPr/>
      </w:pPr>
      <w:r>
        <w:rPr/>
        <w:t>Then that dir is mounted as docker volume inside the container (which is done automagically in the Nextflow module file):</w:t>
      </w:r>
    </w:p>
    <w:p>
      <w:pPr>
        <w:pStyle w:val="Codebox"/>
        <w:ind w:left="643" w:right="0" w:hanging="0"/>
        <w:rPr/>
      </w:pPr>
      <w:r>
        <w:rPr/>
        <w:t>process variantIdentification {</w:t>
      </w:r>
    </w:p>
    <w:p>
      <w:pPr>
        <w:pStyle w:val="Codebox"/>
        <w:ind w:left="643" w:right="0" w:hanging="0"/>
        <w:rPr/>
      </w:pPr>
      <w:r>
        <w:rPr/>
        <w:t>containerOptions "--volume</w:t>
      </w:r>
    </w:p>
    <w:p>
      <w:pPr>
        <w:pStyle w:val="Codebox"/>
        <w:ind w:left="643" w:right="0" w:hanging="0"/>
        <w:rPr/>
      </w:pPr>
      <w:r>
        <w:rPr/>
        <w:t>${params.pangolin_db_absolute_path_on_host}:/home/SARS-</w:t>
      </w:r>
    </w:p>
    <w:p>
      <w:pPr>
        <w:pStyle w:val="Codebox"/>
        <w:ind w:left="643" w:right="0" w:hanging="0"/>
        <w:rPr/>
      </w:pPr>
      <w:r>
        <w:rPr/>
        <w:t>CoV2/pangolin"</w:t>
      </w:r>
    </w:p>
    <w:p>
      <w:pPr>
        <w:pStyle w:val="Codebox"/>
        <w:ind w:left="643" w:right="0" w:hanging="0"/>
        <w:rPr/>
      </w:pPr>
      <w:r>
        <w:rPr/>
        <w:t>(...)</w:t>
      </w:r>
    </w:p>
    <w:p>
      <w:pPr>
        <w:pStyle w:val="TextBody"/>
        <w:rPr/>
      </w:pPr>
      <w:r>
        <w:rPr/>
        <w:t xml:space="preserve">During container build the </w:t>
      </w:r>
      <w:r>
        <w:rPr>
          <w:rStyle w:val="Code"/>
        </w:rPr>
        <w:t>$PYTHONPATH</w:t>
      </w:r>
      <w:r>
        <w:rPr/>
        <w:t xml:space="preserve"> environment variable is set to indicate proper dir.</w:t>
      </w:r>
    </w:p>
    <w:p>
      <w:pPr>
        <w:pStyle w:val="Codebox"/>
        <w:ind w:left="643" w:right="0" w:hanging="0"/>
        <w:rPr/>
      </w:pPr>
      <w:r>
        <w:rPr/>
        <w:t>(...)</w:t>
      </w:r>
    </w:p>
    <w:p>
      <w:pPr>
        <w:pStyle w:val="Codebox"/>
        <w:ind w:left="643" w:right="0" w:hanging="0"/>
        <w:rPr/>
      </w:pPr>
      <w:r>
        <w:rPr/>
        <w:t>ENV PYTHONPATH="/home/SARS-CoV2/pangolin"</w:t>
      </w:r>
    </w:p>
    <w:p>
      <w:pPr>
        <w:pStyle w:val="Codebox"/>
        <w:ind w:left="643" w:right="0" w:hanging="0"/>
        <w:rPr/>
      </w:pPr>
      <w:r>
        <w:rPr/>
        <w:t>(...)</w:t>
      </w:r>
    </w:p>
    <w:p>
      <w:pPr>
        <w:pStyle w:val="TextBody"/>
        <w:rPr/>
      </w:pPr>
      <w:r>
        <w:rPr/>
        <w:t>So the manual download consist of two steps:</w:t>
      </w:r>
    </w:p>
    <w:p>
      <w:pPr>
        <w:pStyle w:val="TextBody"/>
        <w:numPr>
          <w:ilvl w:val="0"/>
          <w:numId w:val="6"/>
        </w:numPr>
        <w:rPr/>
      </w:pPr>
      <w:r>
        <w:rPr/>
        <w:t xml:space="preserve">Install the desired version of </w:t>
      </w:r>
      <w:r>
        <w:rPr>
          <w:rStyle w:val="Code"/>
        </w:rPr>
        <w:t>pangolin-data</w:t>
      </w:r>
      <w:r>
        <w:rPr/>
        <w:t xml:space="preserve"> package in </w:t>
      </w:r>
      <w:r>
        <w:rPr>
          <w:rStyle w:val="Path"/>
        </w:rPr>
        <w:t>data/pangolin</w:t>
      </w:r>
      <w:r>
        <w:rPr/>
        <w:t xml:space="preserve"> directory.</w:t>
      </w:r>
    </w:p>
    <w:p>
      <w:pPr>
        <w:pStyle w:val="TextBody"/>
        <w:numPr>
          <w:ilvl w:val="0"/>
          <w:numId w:val="6"/>
        </w:numPr>
        <w:rPr/>
      </w:pPr>
      <w:r>
        <w:rPr/>
        <w:t xml:space="preserve">Provide absolute path to that dir during starting pipeline </w:t>
        <w:br/>
      </w:r>
      <w:r>
        <w:rPr>
          <w:rStyle w:val="Code"/>
        </w:rPr>
        <w:t>--pangolin_db_absolute_path_on_host /absolute/path/to/data/pangolin</w:t>
      </w:r>
    </w:p>
    <w:p>
      <w:pPr>
        <w:pStyle w:val="Heading3"/>
        <w:rPr/>
      </w:pPr>
      <w:bookmarkStart w:id="38" w:name="__RefHeading___Toc845_1555702251"/>
      <w:bookmarkEnd w:id="38"/>
      <w:r>
        <w:rPr/>
        <w:t>Updating Kraken database</w:t>
      </w:r>
    </w:p>
    <w:p>
      <w:pPr>
        <w:pStyle w:val="TextBody"/>
        <w:rPr/>
      </w:pPr>
      <w:r>
        <w:rPr/>
        <w:t>Kraken 2 (</w:t>
      </w:r>
      <w:hyperlink r:id="rId21">
        <w:r>
          <w:rPr>
            <w:rStyle w:val="InternetLink"/>
          </w:rPr>
          <w:t>https://ccb.jhu.edu/software/kraken2/</w:t>
        </w:r>
      </w:hyperlink>
      <w:r>
        <w:rPr/>
        <w:t>) is a taxonomic classification system using exact k-mer matches. The pipeline utilizes it to detect contamination in samples. It requires a database of approximately 80 GiB, which could potentially be reduced to 16 GiB or 8 GiB, albeit at the cost of sensitivity and accuracy. It updated roughly quarterly. Skipping updates may result in skipping newer taxa.</w:t>
      </w:r>
    </w:p>
    <w:p>
      <w:pPr>
        <w:pStyle w:val="TextBody"/>
        <w:rPr/>
      </w:pPr>
      <w:r>
        <w:rPr/>
        <w:t>Database may be built for user own (not recommended) or be downloaded from aws s3. DB is maintained by Kraken 2 maintainers. Here you can find more here (</w:t>
      </w:r>
      <w:hyperlink r:id="rId22">
        <w:r>
          <w:rPr>
            <w:rStyle w:val="InternetLink"/>
          </w:rPr>
          <w:t>https://github.com/BenLangmead/aws-indexes</w:t>
        </w:r>
      </w:hyperlink>
      <w:r>
        <w:rPr/>
        <w:t>), and here (</w:t>
      </w:r>
      <w:hyperlink r:id="rId23">
        <w:r>
          <w:rPr>
            <w:rStyle w:val="InternetLink"/>
          </w:rPr>
          <w:t>https://benlangmead.github.io/aws-indexes/</w:t>
        </w:r>
      </w:hyperlink>
      <w:r>
        <w:rPr/>
        <w:t>).</w:t>
      </w:r>
    </w:p>
    <w:p>
      <w:pPr>
        <w:pStyle w:val="TextBody"/>
        <w:rPr/>
      </w:pPr>
      <w:r>
        <w:rPr/>
        <w:t>Downloading is via aws cli (</w:t>
      </w:r>
      <w:r>
        <w:rPr>
          <w:rStyle w:val="Code"/>
        </w:rPr>
        <w:t>apt install awscli</w:t>
      </w:r>
      <w:r>
        <w:rPr/>
        <w:t xml:space="preserve">), python library </w:t>
      </w:r>
      <w:r>
        <w:rPr>
          <w:rStyle w:val="Code"/>
        </w:rPr>
        <w:t>boto3</w:t>
      </w:r>
      <w:r>
        <w:rPr/>
        <w:t xml:space="preserve"> or HTTP protocol. There are several types of databases, that differ with set of organism. We use and recommend using </w:t>
      </w:r>
      <w:r>
        <w:rPr>
          <w:rStyle w:val="Code"/>
        </w:rPr>
        <w:t>standard</w:t>
      </w:r>
      <w:r>
        <w:rPr/>
        <w:t xml:space="preserve"> db, which is quite complete. There is also </w:t>
      </w:r>
      <w:r>
        <w:rPr>
          <w:rStyle w:val="Code"/>
        </w:rPr>
        <w:t>nt</w:t>
      </w:r>
      <w:r>
        <w:rPr/>
        <w:t xml:space="preserve"> db which contain all RefSeq and GenBank sequences, but it's size and processing time is too high for routine surveillance.</w:t>
      </w:r>
    </w:p>
    <w:p>
      <w:pPr>
        <w:pStyle w:val="TextBody"/>
        <w:rPr/>
      </w:pPr>
      <w:r>
        <w:rPr/>
        <w:t>Links for http downloads are available here (</w:t>
      </w:r>
      <w:hyperlink r:id="rId24">
        <w:r>
          <w:rPr>
            <w:rStyle w:val="InternetLink"/>
          </w:rPr>
          <w:t>https://benlangmead.github.io/aws-indexes/k2</w:t>
        </w:r>
      </w:hyperlink>
      <w:r>
        <w:rPr/>
        <w:t xml:space="preserve">). They are in form of: </w:t>
      </w:r>
      <w:hyperlink r:id="rId25">
        <w:r>
          <w:rPr>
            <w:rStyle w:val="InternetLink"/>
          </w:rPr>
          <w:t>https://genome-idx.s3.amazonaws.com/kraken/k2_DBNAME_YYYMMDD.tar.gz</w:t>
        </w:r>
      </w:hyperlink>
      <w:r>
        <w:rPr/>
        <w:t xml:space="preserve"> where DB name is one of following: </w:t>
      </w:r>
      <w:r>
        <w:rPr>
          <w:rStyle w:val="Code"/>
        </w:rPr>
        <w:t>standard</w:t>
      </w:r>
      <w:r>
        <w:rPr/>
        <w:t xml:space="preserve">, </w:t>
      </w:r>
      <w:r>
        <w:rPr>
          <w:rStyle w:val="Code"/>
        </w:rPr>
        <w:t>standard_08gb</w:t>
      </w:r>
      <w:r>
        <w:rPr/>
        <w:t xml:space="preserve">, </w:t>
      </w:r>
      <w:r>
        <w:rPr>
          <w:rStyle w:val="Code"/>
        </w:rPr>
        <w:t>standard_16gb</w:t>
      </w:r>
      <w:r>
        <w:rPr/>
        <w:t xml:space="preserve">, </w:t>
      </w:r>
      <w:r>
        <w:rPr>
          <w:rStyle w:val="Code"/>
        </w:rPr>
        <w:t>viral</w:t>
      </w:r>
      <w:r>
        <w:rPr/>
        <w:t xml:space="preserve">, </w:t>
      </w:r>
      <w:r>
        <w:rPr>
          <w:rStyle w:val="Code"/>
        </w:rPr>
        <w:t>minusb</w:t>
      </w:r>
      <w:r>
        <w:rPr/>
        <w:t xml:space="preserve">, </w:t>
      </w:r>
      <w:r>
        <w:rPr>
          <w:rStyle w:val="Code"/>
        </w:rPr>
        <w:t>pluspf, pluspf_08gb</w:t>
      </w:r>
      <w:r>
        <w:rPr/>
        <w:t xml:space="preserve">, </w:t>
      </w:r>
      <w:r>
        <w:rPr>
          <w:rStyle w:val="Code"/>
        </w:rPr>
        <w:t>pluspf_16gb</w:t>
      </w:r>
      <w:r>
        <w:rPr/>
        <w:t xml:space="preserve">, </w:t>
      </w:r>
      <w:r>
        <w:rPr>
          <w:rStyle w:val="Code"/>
        </w:rPr>
        <w:t>pluspfp</w:t>
      </w:r>
      <w:r>
        <w:rPr/>
        <w:t xml:space="preserve">, </w:t>
      </w:r>
      <w:r>
        <w:rPr>
          <w:rStyle w:val="Code"/>
        </w:rPr>
        <w:t>pluspfp_08gb</w:t>
      </w:r>
      <w:r>
        <w:rPr/>
        <w:t xml:space="preserve">, </w:t>
      </w:r>
      <w:r>
        <w:rPr>
          <w:rStyle w:val="Code"/>
        </w:rPr>
        <w:t>pluspfp_16gb</w:t>
      </w:r>
      <w:r>
        <w:rPr/>
        <w:t xml:space="preserve">, </w:t>
      </w:r>
      <w:r>
        <w:rPr>
          <w:rStyle w:val="Code"/>
        </w:rPr>
        <w:t>nt</w:t>
      </w:r>
      <w:r>
        <w:rPr/>
        <w:t xml:space="preserve">, </w:t>
      </w:r>
      <w:r>
        <w:rPr>
          <w:rStyle w:val="Code"/>
        </w:rPr>
        <w:t>eupathdb48</w:t>
      </w:r>
      <w:r>
        <w:rPr/>
        <w:t>.</w:t>
      </w:r>
    </w:p>
    <w:p>
      <w:pPr>
        <w:pStyle w:val="TextBody"/>
        <w:rPr/>
      </w:pPr>
      <w:r>
        <w:rPr/>
        <w:t>Refer to official docs for more details.</w:t>
      </w:r>
    </w:p>
    <w:p>
      <w:pPr>
        <w:pStyle w:val="TextBody"/>
        <w:rPr/>
      </w:pPr>
      <w:r>
        <w:rPr/>
        <w:t xml:space="preserve">In case of our pipeline we use python script that is using boto3 library. It is part of </w:t>
      </w:r>
      <w:r>
        <w:rPr>
          <w:rStyle w:val="Code"/>
        </w:rPr>
        <w:t>nf_illumina_sars-4.1-updater</w:t>
      </w:r>
      <w:r>
        <w:rPr/>
        <w:t xml:space="preserve"> container. For running this script simply pass </w:t>
      </w:r>
      <w:r>
        <w:rPr>
          <w:rStyle w:val="Code"/>
        </w:rPr>
        <w:t>kraken2</w:t>
      </w:r>
      <w:r>
        <w:rPr/>
        <w:t xml:space="preserve"> to the container during running.</w:t>
      </w:r>
    </w:p>
    <w:p>
      <w:pPr>
        <w:pStyle w:val="TextBody"/>
        <w:rPr/>
      </w:pPr>
      <w:r>
        <w:rPr/>
        <w:t xml:space="preserve">We recommend using for this dedicated script: </w:t>
      </w:r>
      <w:r>
        <w:rPr>
          <w:rStyle w:val="Code"/>
        </w:rPr>
        <w:t>update_externeal_databases.sh</w:t>
      </w:r>
      <w:r>
        <w:rPr/>
        <w:t>.</w:t>
      </w:r>
    </w:p>
    <w:p>
      <w:pPr>
        <w:pStyle w:val="TextBody"/>
        <w:rPr/>
      </w:pPr>
      <w:r>
        <w:rPr/>
        <w:t>Kraken DB will not be updated if local path already contain the file with the same name.</w:t>
      </w:r>
    </w:p>
    <w:p>
      <w:pPr>
        <w:pStyle w:val="Heading3"/>
        <w:rPr/>
      </w:pPr>
      <w:bookmarkStart w:id="39" w:name="__RefHeading___Toc849_1555702251"/>
      <w:bookmarkEnd w:id="39"/>
      <w:r>
        <w:rPr/>
        <w:t>Updating Freyja database</w:t>
      </w:r>
    </w:p>
    <w:p>
      <w:pPr>
        <w:pStyle w:val="TextBody"/>
        <w:rPr/>
      </w:pPr>
      <w:r>
        <w:rPr/>
        <w:t>Freyja (</w:t>
      </w:r>
      <w:hyperlink r:id="rId26">
        <w:r>
          <w:rPr>
            <w:rStyle w:val="InternetLink"/>
          </w:rPr>
          <w:t>https://andersen-lab.github.io/Freyja/index.html</w:t>
        </w:r>
      </w:hyperlink>
      <w:r>
        <w:rPr/>
        <w:t>) is a tool to recover relative lineage abundances from mixed SARS-CoV-2 samples from a sequencing dataset.</w:t>
      </w:r>
    </w:p>
    <w:p>
      <w:pPr>
        <w:pStyle w:val="TextBody"/>
        <w:rPr/>
      </w:pPr>
      <w:r>
        <w:rPr/>
        <w:t xml:space="preserve">Natively Freyja updates require installing Freyja python package (by default with conda) and running freyja update command. This command will download the latest version of curated lineages and usher bar codes. However, in our pipeline we do it simpler way. We download the files directly from the dedicated GitHub repository </w:t>
      </w:r>
      <w:r>
        <w:rPr>
          <w:rStyle w:val="Code"/>
        </w:rPr>
        <w:t>andersen-lab/Freyja-data</w:t>
      </w:r>
      <w:r>
        <w:rPr/>
        <w:t xml:space="preserve"> (</w:t>
      </w:r>
      <w:hyperlink r:id="rId27">
        <w:r>
          <w:rPr>
            <w:rStyle w:val="InternetLink"/>
          </w:rPr>
          <w:t>https://github.com/andersen-lab/Freyja-data</w:t>
        </w:r>
      </w:hyperlink>
      <w:r>
        <w:rPr/>
        <w:t xml:space="preserve">) using regular </w:t>
      </w:r>
      <w:r>
        <w:rPr>
          <w:rStyle w:val="Code"/>
        </w:rPr>
        <w:t>wget</w:t>
      </w:r>
      <w:r>
        <w:rPr/>
        <w:t xml:space="preserve">, which is implemented in the </w:t>
      </w:r>
      <w:r>
        <w:rPr>
          <w:rStyle w:val="Code"/>
        </w:rPr>
        <w:t>update_external_databases.sh</w:t>
      </w:r>
      <w:r>
        <w:rPr/>
        <w:t xml:space="preserve"> script, and updater container.</w:t>
      </w:r>
      <w:r>
        <w:br w:type="page"/>
      </w:r>
    </w:p>
    <w:p>
      <w:pPr>
        <w:pStyle w:val="Heading1"/>
        <w:rPr/>
      </w:pPr>
      <w:bookmarkStart w:id="40" w:name="__RefHeading___Toc851_1555702251"/>
      <w:bookmarkEnd w:id="40"/>
      <w:r>
        <w:rPr/>
        <w:t>Running pipeline</w:t>
      </w:r>
    </w:p>
    <w:p>
      <w:pPr>
        <w:pStyle w:val="Heading2"/>
        <w:rPr/>
      </w:pPr>
      <w:bookmarkStart w:id="41" w:name="__RefHeading___Toc853_1555702251"/>
      <w:bookmarkEnd w:id="41"/>
      <w:r>
        <w:rPr/>
        <w:t>Pipeline parameters</w:t>
      </w:r>
    </w:p>
    <w:p>
      <w:pPr>
        <w:pStyle w:val="TextBody"/>
        <w:rPr/>
      </w:pPr>
      <w:r>
        <w:rPr/>
        <w:t>There are three types of flags that we use explicit, implicit and nextflow flags. Explicit MUST be provided during starting pipeline - they are paths for input files. Explicit parameters are mostly numeric values for various modules. They have set reasonable default values and usually there is no need to modify them. NextFlow flags apply to the way how NextFlow is executed rather than to pipeline itself.</w:t>
      </w:r>
    </w:p>
    <w:p>
      <w:pPr>
        <w:pStyle w:val="TextBody"/>
        <w:rPr/>
      </w:pPr>
      <w:r>
        <w:rPr/>
        <w:t xml:space="preserve">By convention pipeline params starts with two dash </w:t>
      </w:r>
      <w:r>
        <w:rPr>
          <w:rStyle w:val="Code"/>
        </w:rPr>
        <w:t>--param_name</w:t>
      </w:r>
      <w:r>
        <w:rPr/>
        <w:t>, while NextFlow flags</w:t>
      </w:r>
    </w:p>
    <w:p>
      <w:pPr>
        <w:pStyle w:val="TextBody"/>
        <w:rPr/>
      </w:pPr>
      <w:r>
        <w:rPr/>
        <w:t xml:space="preserve">starts with single dash </w:t>
      </w:r>
      <w:r>
        <w:rPr>
          <w:rStyle w:val="Code"/>
        </w:rPr>
        <w:t>-param-name</w:t>
      </w:r>
      <w:r>
        <w:rPr/>
        <w:t>.</w:t>
      </w:r>
    </w:p>
    <w:p>
      <w:pPr>
        <w:pStyle w:val="Heading3"/>
        <w:rPr/>
      </w:pPr>
      <w:bookmarkStart w:id="42" w:name="__RefHeading___Toc855_1555702251"/>
      <w:bookmarkEnd w:id="42"/>
      <w:r>
        <w:rPr/>
        <w:t>Explicit pipeline parameters</w:t>
      </w:r>
    </w:p>
    <w:p>
      <w:pPr>
        <w:pStyle w:val="Codebox"/>
        <w:ind w:left="643" w:right="0" w:hanging="0"/>
        <w:rPr/>
      </w:pPr>
      <w:r>
        <w:rPr/>
        <w:t>./run_pipeline.sh \</w:t>
      </w:r>
    </w:p>
    <w:p>
      <w:pPr>
        <w:pStyle w:val="Codebox"/>
        <w:ind w:left="643" w:right="0" w:hanging="0"/>
        <w:rPr/>
      </w:pPr>
      <w:r>
        <w:rPr/>
        <w:t>--ref_genome 'path/to/reference/genome.fasta' \</w:t>
      </w:r>
    </w:p>
    <w:p>
      <w:pPr>
        <w:pStyle w:val="Codebox"/>
        <w:ind w:left="643" w:right="0" w:hanging="0"/>
        <w:rPr/>
      </w:pPr>
      <w:r>
        <w:rPr/>
        <w:t>--reads 'path/to/reads/sample_id_{1,2}.fastq.gz' \</w:t>
      </w:r>
    </w:p>
    <w:p>
      <w:pPr>
        <w:pStyle w:val="Codebox"/>
        <w:ind w:left="643" w:right="0" w:hanging="0"/>
        <w:rPr/>
      </w:pPr>
      <w:r>
        <w:rPr/>
        <w:t>--primers 'path/to/primers.bed' \</w:t>
      </w:r>
    </w:p>
    <w:p>
      <w:pPr>
        <w:pStyle w:val="Codebox"/>
        <w:ind w:left="643" w:right="0" w:hanging="0"/>
        <w:rPr/>
      </w:pPr>
      <w:r>
        <w:rPr/>
        <w:t>--pairs 'path/to/pairs.tsv' \</w:t>
      </w:r>
    </w:p>
    <w:p>
      <w:pPr>
        <w:pStyle w:val="Codebox"/>
        <w:ind w:left="643" w:right="0" w:hanging="0"/>
        <w:rPr/>
      </w:pPr>
      <w:r>
        <w:rPr/>
        <w:t>--adapters 'path/to/adapters.fa' \</w:t>
      </w:r>
    </w:p>
    <w:p>
      <w:pPr>
        <w:pStyle w:val="Codebox"/>
        <w:ind w:left="643" w:right="0" w:hanging="0"/>
        <w:rPr/>
      </w:pPr>
      <w:r>
        <w:rPr/>
        <w:t>--pangolin_db_absolute_path_on_host</w:t>
      </w:r>
    </w:p>
    <w:p>
      <w:pPr>
        <w:pStyle w:val="Codebox"/>
        <w:ind w:left="643" w:right="0" w:hanging="0"/>
        <w:rPr/>
      </w:pPr>
      <w:r>
        <w:rPr/>
        <w:t>'/home/user/path/to/pangolin_db' \</w:t>
      </w:r>
    </w:p>
    <w:p>
      <w:pPr>
        <w:pStyle w:val="Codebox"/>
        <w:ind w:left="643" w:right="0" w:hanging="0"/>
        <w:rPr/>
      </w:pPr>
      <w:r>
        <w:rPr/>
        <w:t>--nextclade_db_absolute_path_on_host</w:t>
      </w:r>
    </w:p>
    <w:p>
      <w:pPr>
        <w:pStyle w:val="Codebox"/>
        <w:ind w:left="643" w:right="0" w:hanging="0"/>
        <w:rPr/>
      </w:pPr>
      <w:r>
        <w:rPr/>
        <w:t>'/home/user/path/to/nextclade_db' \</w:t>
      </w:r>
    </w:p>
    <w:p>
      <w:pPr>
        <w:pStyle w:val="Codebox"/>
        <w:ind w:left="643" w:right="0" w:hanging="0"/>
        <w:rPr/>
      </w:pPr>
      <w:r>
        <w:rPr/>
        <w:t>--kraken2_db_absolute_path_on_host '/home/user/path/to/kraken2_db' \</w:t>
      </w:r>
    </w:p>
    <w:p>
      <w:pPr>
        <w:pStyle w:val="Codebox"/>
        <w:ind w:left="643" w:right="0" w:hanging="0"/>
        <w:rPr/>
      </w:pPr>
      <w:r>
        <w:rPr/>
        <w:t>--freyja_db_absolute_path_on_host '/home/user/path/to/freyja'</w:t>
      </w:r>
    </w:p>
    <w:p>
      <w:pPr>
        <w:pStyle w:val="TextBody"/>
        <w:rPr/>
      </w:pPr>
      <w:r>
        <w:rPr>
          <w:rStyle w:val="Code"/>
        </w:rPr>
        <w:t>--ref_genome</w:t>
      </w:r>
      <w:r>
        <w:rPr/>
        <w:t xml:space="preserve"> - path to reference genome fasta file</w:t>
      </w:r>
    </w:p>
    <w:p>
      <w:pPr>
        <w:pStyle w:val="TextBody"/>
        <w:rPr/>
      </w:pPr>
      <w:r>
        <w:rPr>
          <w:rStyle w:val="Code"/>
        </w:rPr>
        <w:t>--reads</w:t>
      </w:r>
      <w:r>
        <w:rPr/>
        <w:t xml:space="preserve"> - path to reads in fastqc format. Must be gzipped and be in form: </w:t>
      </w:r>
      <w:r>
        <w:rPr>
          <w:rStyle w:val="Path"/>
        </w:rPr>
        <w:t>sample_id_{1,2}.fastq.gz</w:t>
      </w:r>
      <w:r>
        <w:rPr/>
        <w:t>. Name must be resolvable by shell into two different files. One for forward reads, and second fo reverse reads. primers - primers in bed file format. Example is below.</w:t>
      </w:r>
    </w:p>
    <w:p>
      <w:pPr>
        <w:pStyle w:val="Codebox"/>
        <w:ind w:left="643" w:right="0" w:hanging="0"/>
        <w:rPr/>
      </w:pPr>
      <w:r>
        <w:rPr/>
        <w:t>MN908947.3  2826    2850         nCoV-2019_10_LEFT    1    +</w:t>
      </w:r>
    </w:p>
    <w:p>
      <w:pPr>
        <w:pStyle w:val="Codebox"/>
        <w:ind w:left="643" w:right="0" w:hanging="0"/>
        <w:rPr/>
      </w:pPr>
      <w:r>
        <w:rPr/>
        <w:t>TGAGAAGTGCTCTGCCTATACAGT</w:t>
      </w:r>
    </w:p>
    <w:p>
      <w:pPr>
        <w:pStyle w:val="Codebox"/>
        <w:ind w:left="643" w:right="0" w:hanging="0"/>
        <w:rPr/>
      </w:pPr>
      <w:r>
        <w:rPr/>
        <w:t>MN908947.3  3183    3210         nCoV-2019_10_RIGHT    1    -</w:t>
      </w:r>
    </w:p>
    <w:p>
      <w:pPr>
        <w:pStyle w:val="Codebox"/>
        <w:ind w:left="643" w:right="0" w:hanging="0"/>
        <w:rPr/>
      </w:pPr>
      <w:r>
        <w:rPr/>
        <w:t>TCATCTAACCAATCTTCTTCTTGCTCT</w:t>
      </w:r>
    </w:p>
    <w:p>
      <w:pPr>
        <w:pStyle w:val="Codebox"/>
        <w:ind w:left="643" w:right="0" w:hanging="0"/>
        <w:rPr/>
      </w:pPr>
      <w:r>
        <w:rPr/>
        <w:t>(...)</w:t>
      </w:r>
    </w:p>
    <w:p>
      <w:pPr>
        <w:pStyle w:val="TextBody"/>
        <w:rPr/>
      </w:pPr>
      <w:r>
        <w:rPr/>
        <w:t xml:space="preserve">Common primers sets are included in </w:t>
      </w:r>
      <w:r>
        <w:rPr>
          <w:rStyle w:val="Path"/>
        </w:rPr>
        <w:t>data/generic/primers</w:t>
      </w:r>
      <w:r>
        <w:rPr/>
        <w:t xml:space="preserve"> directory and include following:</w:t>
      </w:r>
    </w:p>
    <w:p>
      <w:pPr>
        <w:pStyle w:val="TextBody"/>
        <w:rPr/>
      </w:pPr>
      <w:r>
        <w:rPr>
          <w:rStyle w:val="Code"/>
        </w:rPr>
        <w:t>SARS1_partmerge_exp</w:t>
      </w:r>
      <w:r>
        <w:rPr/>
        <w:t xml:space="preserve">, </w:t>
      </w:r>
      <w:r>
        <w:rPr>
          <w:rStyle w:val="Code"/>
        </w:rPr>
        <w:t>SARS2_partmerge_exp</w:t>
      </w:r>
      <w:r>
        <w:rPr/>
        <w:t xml:space="preserve">, </w:t>
      </w:r>
      <w:r>
        <w:rPr>
          <w:rStyle w:val="Code"/>
        </w:rPr>
        <w:t>V1</w:t>
      </w:r>
      <w:r>
        <w:rPr/>
        <w:t xml:space="preserve">, </w:t>
      </w:r>
      <w:r>
        <w:rPr>
          <w:rStyle w:val="Code"/>
        </w:rPr>
        <w:t>V2</w:t>
      </w:r>
      <w:r>
        <w:rPr/>
        <w:t xml:space="preserve">, </w:t>
      </w:r>
      <w:r>
        <w:rPr>
          <w:rStyle w:val="Code"/>
        </w:rPr>
        <w:t>V3</w:t>
      </w:r>
      <w:r>
        <w:rPr/>
        <w:t xml:space="preserve">, </w:t>
      </w:r>
      <w:r>
        <w:rPr>
          <w:rStyle w:val="Code"/>
        </w:rPr>
        <w:t>V4</w:t>
      </w:r>
      <w:r>
        <w:rPr/>
        <w:t xml:space="preserve">, </w:t>
      </w:r>
      <w:r>
        <w:rPr>
          <w:rStyle w:val="Code"/>
        </w:rPr>
        <w:t>V4.1</w:t>
      </w:r>
      <w:r>
        <w:rPr/>
        <w:t xml:space="preserve">, </w:t>
      </w:r>
      <w:r>
        <w:rPr>
          <w:rStyle w:val="Code"/>
        </w:rPr>
        <w:t>V1200</w:t>
      </w:r>
      <w:r>
        <w:rPr/>
        <w:t xml:space="preserve">, </w:t>
      </w:r>
      <w:r>
        <w:rPr>
          <w:rStyle w:val="Code"/>
        </w:rPr>
        <w:t>V1201</w:t>
      </w:r>
    </w:p>
    <w:p>
      <w:pPr>
        <w:pStyle w:val="TextBody"/>
        <w:rPr/>
      </w:pPr>
      <w:r>
        <w:rPr>
          <w:rStyle w:val="Code"/>
        </w:rPr>
        <w:t>--pairs</w:t>
      </w:r>
      <w:r>
        <w:rPr/>
        <w:t xml:space="preserve"> - definition of primers identifiers in two column tab separated file. This file is included in corresponding every primers set in </w:t>
      </w:r>
      <w:r>
        <w:rPr>
          <w:rStyle w:val="Path"/>
        </w:rPr>
        <w:t>data/generic/primers</w:t>
      </w:r>
      <w:r>
        <w:rPr/>
        <w:t xml:space="preserve">. Structure of primer identifier is meaningful. Must match regexp </w:t>
      </w:r>
      <w:r>
        <w:rPr>
          <w:rStyle w:val="Code"/>
        </w:rPr>
        <w:t>nCoV-2019_[1,2]_(LEFT,RIGHT)</w:t>
      </w:r>
      <w:r>
        <w:rPr/>
        <w:t>. Example:</w:t>
      </w:r>
    </w:p>
    <w:p>
      <w:pPr>
        <w:pStyle w:val="Codebox"/>
        <w:ind w:left="643" w:right="0" w:hanging="0"/>
        <w:rPr/>
      </w:pPr>
      <w:r>
        <w:rPr/>
        <w:t>nCoV-2019_1_LEFTnCoV-2019_1_RIGHT</w:t>
      </w:r>
    </w:p>
    <w:p>
      <w:pPr>
        <w:pStyle w:val="Codebox"/>
        <w:ind w:left="643" w:right="0" w:hanging="0"/>
        <w:rPr/>
      </w:pPr>
      <w:r>
        <w:rPr/>
        <w:t>nCoV-2019_2_LEFT</w:t>
      </w:r>
    </w:p>
    <w:p>
      <w:pPr>
        <w:pStyle w:val="Codebox"/>
        <w:ind w:left="643" w:right="0" w:hanging="0"/>
        <w:rPr/>
      </w:pPr>
      <w:r>
        <w:rPr/>
        <w:t>(...)nCoV-2019_2_RIGHT</w:t>
      </w:r>
    </w:p>
    <w:p>
      <w:pPr>
        <w:pStyle w:val="TextBody"/>
        <w:rPr/>
      </w:pPr>
      <w:r>
        <w:rPr>
          <w:rStyle w:val="Code"/>
        </w:rPr>
        <w:t>--adapters</w:t>
      </w:r>
      <w:r>
        <w:rPr/>
        <w:t xml:space="preserve"> - path to fasta file with adapters. Common adapters are included in </w:t>
      </w:r>
      <w:r>
        <w:rPr>
          <w:rStyle w:val="Path"/>
        </w:rPr>
        <w:t>data/generic/primers</w:t>
      </w:r>
      <w:r>
        <w:rPr/>
        <w:t>. Example:</w:t>
      </w:r>
    </w:p>
    <w:p>
      <w:pPr>
        <w:pStyle w:val="Codebox"/>
        <w:ind w:left="643" w:right="0" w:hanging="0"/>
        <w:rPr/>
      </w:pPr>
      <w:r>
        <w:rPr/>
        <w:t>&gt;PrefixPE/1</w:t>
      </w:r>
    </w:p>
    <w:p>
      <w:pPr>
        <w:pStyle w:val="Codebox"/>
        <w:ind w:left="643" w:right="0" w:hanging="0"/>
        <w:rPr/>
      </w:pPr>
      <w:r>
        <w:rPr/>
        <w:t>TACACTCTTTCCCTACACGACGCTCTTCCGATCT</w:t>
      </w:r>
    </w:p>
    <w:p>
      <w:pPr>
        <w:pStyle w:val="Codebox"/>
        <w:ind w:left="643" w:right="0" w:hanging="0"/>
        <w:rPr/>
      </w:pPr>
      <w:r>
        <w:rPr/>
        <w:t>&gt;PrefixPE/2</w:t>
      </w:r>
    </w:p>
    <w:p>
      <w:pPr>
        <w:pStyle w:val="Codebox"/>
        <w:ind w:left="643" w:right="0" w:hanging="0"/>
        <w:rPr/>
      </w:pPr>
      <w:r>
        <w:rPr/>
        <w:t>GTGACTGGAGTTCAGACGTGTGCTCTTCCGATCT</w:t>
      </w:r>
    </w:p>
    <w:p>
      <w:pPr>
        <w:pStyle w:val="Heading3"/>
        <w:rPr/>
      </w:pPr>
      <w:bookmarkStart w:id="43" w:name="__RefHeading___Toc857_1555702251"/>
      <w:bookmarkEnd w:id="43"/>
      <w:r>
        <w:rPr/>
        <w:t>Implicit pipeline parameters</w:t>
      </w:r>
    </w:p>
    <w:p>
      <w:pPr>
        <w:pStyle w:val="TextBody"/>
        <w:rPr/>
      </w:pPr>
      <w:r>
        <w:rPr/>
        <w:t xml:space="preserve">All implicit parameters are listed in main pipeline file </w:t>
      </w:r>
      <w:r>
        <w:rPr>
          <w:rStyle w:val="Code"/>
        </w:rPr>
        <w:t>nf_pipeline.nf</w:t>
      </w:r>
      <w:r>
        <w:rPr/>
        <w:t xml:space="preserve"> with their reasonable defaults.</w:t>
      </w:r>
    </w:p>
    <w:p>
      <w:pPr>
        <w:pStyle w:val="Codebox"/>
        <w:ind w:left="643" w:right="0" w:hanging="0"/>
        <w:rPr/>
      </w:pPr>
      <w:r>
        <w:rPr/>
        <w:t>params.threads = 5</w:t>
      </w:r>
    </w:p>
    <w:p>
      <w:pPr>
        <w:pStyle w:val="Codebox"/>
        <w:ind w:left="643" w:right="0" w:hanging="0"/>
        <w:rPr/>
      </w:pPr>
      <w:r>
        <w:rPr/>
        <w:t>params.memory = 2024</w:t>
      </w:r>
    </w:p>
    <w:p>
      <w:pPr>
        <w:pStyle w:val="Codebox"/>
        <w:ind w:left="643" w:right="0" w:hanging="0"/>
        <w:rPr/>
      </w:pPr>
      <w:r>
        <w:rPr/>
        <w:t>params.quality_initial = 5</w:t>
      </w:r>
    </w:p>
    <w:p>
      <w:pPr>
        <w:pStyle w:val="Codebox"/>
        <w:ind w:left="643" w:right="0" w:hanging="0"/>
        <w:rPr/>
      </w:pPr>
      <w:r>
        <w:rPr/>
        <w:t>params.length = 90</w:t>
      </w:r>
    </w:p>
    <w:p>
      <w:pPr>
        <w:pStyle w:val="Codebox"/>
        <w:ind w:left="643" w:right="0" w:hanging="0"/>
        <w:rPr/>
      </w:pPr>
      <w:r>
        <w:rPr/>
        <w:t>params.max_number_for_SV = 200000</w:t>
      </w:r>
    </w:p>
    <w:p>
      <w:pPr>
        <w:pStyle w:val="Codebox"/>
        <w:ind w:left="643" w:right="0" w:hanging="0"/>
        <w:rPr/>
      </w:pPr>
      <w:r>
        <w:rPr/>
        <w:t>params.max_depth = 6000</w:t>
      </w:r>
    </w:p>
    <w:p>
      <w:pPr>
        <w:pStyle w:val="Codebox"/>
        <w:ind w:left="643" w:right="0" w:hanging="0"/>
        <w:rPr/>
      </w:pPr>
      <w:r>
        <w:rPr/>
        <w:t>params.min_cov = 20</w:t>
      </w:r>
    </w:p>
    <w:p>
      <w:pPr>
        <w:pStyle w:val="Codebox"/>
        <w:ind w:left="643" w:right="0" w:hanging="0"/>
        <w:rPr/>
      </w:pPr>
      <w:r>
        <w:rPr/>
        <w:t>params.mask = 20</w:t>
      </w:r>
    </w:p>
    <w:p>
      <w:pPr>
        <w:pStyle w:val="Codebox"/>
        <w:ind w:left="643" w:right="0" w:hanging="0"/>
        <w:rPr/>
      </w:pPr>
      <w:r>
        <w:rPr/>
        <w:t>params.quality_snp = 15</w:t>
      </w:r>
    </w:p>
    <w:p>
      <w:pPr>
        <w:pStyle w:val="Codebox"/>
        <w:ind w:left="643" w:right="0" w:hanging="0"/>
        <w:rPr/>
      </w:pPr>
      <w:r>
        <w:rPr/>
        <w:t>params.pval = 0.05</w:t>
      </w:r>
    </w:p>
    <w:p>
      <w:pPr>
        <w:pStyle w:val="Codebox"/>
        <w:ind w:left="643" w:right="0" w:hanging="0"/>
        <w:rPr/>
      </w:pPr>
      <w:r>
        <w:rPr/>
        <w:t>params.lower_ambig = 0.45</w:t>
      </w:r>
    </w:p>
    <w:p>
      <w:pPr>
        <w:pStyle w:val="Codebox"/>
        <w:ind w:left="643" w:right="0" w:hanging="0"/>
        <w:rPr/>
      </w:pPr>
      <w:r>
        <w:rPr/>
        <w:t>params.upper_ambig = 0.55</w:t>
      </w:r>
    </w:p>
    <w:p>
      <w:pPr>
        <w:pStyle w:val="Codebox"/>
        <w:ind w:left="643" w:right="0" w:hanging="0"/>
        <w:rPr/>
      </w:pPr>
      <w:r>
        <w:rPr/>
        <w:t>params.ref_genome_id = "MN908947.3"</w:t>
      </w:r>
    </w:p>
    <w:p>
      <w:pPr>
        <w:pStyle w:val="TextBody"/>
        <w:rPr/>
      </w:pPr>
      <w:r>
        <w:rPr/>
        <w:t>To run pipeline with modified parameter simply add appropriate flag:</w:t>
      </w:r>
    </w:p>
    <w:p>
      <w:pPr>
        <w:pStyle w:val="Codebox"/>
        <w:ind w:left="643" w:right="0" w:hanging="0"/>
        <w:rPr/>
      </w:pPr>
      <w:r>
        <w:rPr/>
        <w:t>./run_nf_pipeline.sh --threads 10</w:t>
      </w:r>
    </w:p>
    <w:p>
      <w:pPr>
        <w:pStyle w:val="TextBody"/>
        <w:rPr/>
      </w:pPr>
      <w:r>
        <w:rPr>
          <w:rStyle w:val="Code"/>
        </w:rPr>
        <w:t>--threads</w:t>
      </w:r>
      <w:r>
        <w:rPr/>
        <w:t>, positive integer, number of threads used by couple of different modules. In single sample mode should be set to 1/3 of available CPUS. In multisample mode should be adjusted empirically. Recommended value for decent server: 5.</w:t>
      </w:r>
    </w:p>
    <w:p>
      <w:pPr>
        <w:pStyle w:val="TextBody"/>
        <w:rPr/>
      </w:pPr>
      <w:r>
        <w:rPr>
          <w:rStyle w:val="Code"/>
        </w:rPr>
        <w:t>--memory</w:t>
      </w:r>
      <w:r>
        <w:rPr/>
        <w:t>, positive integer in MiB, similar to above. Default: 2024</w:t>
      </w:r>
    </w:p>
    <w:p>
      <w:pPr>
        <w:pStyle w:val="TextBody"/>
        <w:rPr/>
      </w:pPr>
      <w:r>
        <w:rPr>
          <w:rStyle w:val="Code"/>
        </w:rPr>
        <w:t>--quality_initial</w:t>
      </w:r>
      <w:r>
        <w:rPr/>
        <w:t>, positive integer in PHRED scale, per base quality threshold used in various filtering and reporting modules. Default: 5.</w:t>
      </w:r>
    </w:p>
    <w:p>
      <w:pPr>
        <w:pStyle w:val="TextBody"/>
        <w:rPr/>
      </w:pPr>
      <w:r>
        <w:rPr>
          <w:rStyle w:val="Code"/>
        </w:rPr>
        <w:t>--length</w:t>
      </w:r>
      <w:r>
        <w:rPr/>
        <w:t>, positive integer - number of base pairs, minimum length of a read. Default: 90</w:t>
      </w:r>
    </w:p>
    <w:p>
      <w:pPr>
        <w:pStyle w:val="TextBody"/>
        <w:rPr/>
      </w:pPr>
      <w:r>
        <w:rPr>
          <w:rStyle w:val="Code"/>
        </w:rPr>
        <w:t>--max_number_for_SV</w:t>
      </w:r>
      <w:r>
        <w:rPr/>
        <w:t xml:space="preserve"> - positive integer, maximum number of reads in bam file for manta module, down sampled by Picard, Default: 200000</w:t>
      </w:r>
    </w:p>
    <w:p>
      <w:pPr>
        <w:pStyle w:val="TextBody"/>
        <w:rPr/>
      </w:pPr>
      <w:r>
        <w:rPr>
          <w:rStyle w:val="Code"/>
        </w:rPr>
        <w:t>--max_depth</w:t>
      </w:r>
      <w:r>
        <w:rPr/>
        <w:t xml:space="preserve"> - positive integer, number of base pairs, threshold for short indel callers, reads above this value will be discarded. This is used for speedup indel calling. Default: 6000</w:t>
      </w:r>
    </w:p>
    <w:p>
      <w:pPr>
        <w:pStyle w:val="TextBody"/>
        <w:rPr/>
      </w:pPr>
      <w:r>
        <w:rPr>
          <w:rStyle w:val="Code"/>
        </w:rPr>
        <w:t>--min_cov</w:t>
      </w:r>
      <w:r>
        <w:rPr/>
        <w:t xml:space="preserve"> - positive integer, number of base pairs, threshold below which mutation will not be called. Default: 20</w:t>
      </w:r>
    </w:p>
    <w:p>
      <w:pPr>
        <w:pStyle w:val="TextBody"/>
        <w:rPr/>
      </w:pPr>
      <w:r>
        <w:rPr>
          <w:rStyle w:val="Code"/>
        </w:rPr>
        <w:t>--mask</w:t>
      </w:r>
      <w:r>
        <w:rPr/>
        <w:t xml:space="preserve"> - positive integer, number of base pairs, below this coverage value, genome will be masked with N. Should be the same as min_cov. Default: 20</w:t>
      </w:r>
    </w:p>
    <w:p>
      <w:pPr>
        <w:pStyle w:val="TextBody"/>
        <w:rPr/>
      </w:pPr>
      <w:r>
        <w:rPr>
          <w:rStyle w:val="Code"/>
        </w:rPr>
        <w:t>--quality_snp</w:t>
      </w:r>
      <w:r>
        <w:rPr/>
        <w:t xml:space="preserve"> - positive integer, PHRED scale, minimum quality of a base for INDEL calling, Default: 15</w:t>
      </w:r>
    </w:p>
    <w:p>
      <w:pPr>
        <w:pStyle w:val="TextBody"/>
        <w:rPr/>
      </w:pPr>
      <w:r>
        <w:rPr>
          <w:rStyle w:val="Code"/>
        </w:rPr>
        <w:t>--pval</w:t>
      </w:r>
      <w:r>
        <w:rPr/>
        <w:t xml:space="preserve"> - float from range [0; 1], minimal probability for INDEL calling, Default: 0.05</w:t>
      </w:r>
    </w:p>
    <w:p>
      <w:pPr>
        <w:pStyle w:val="TextBody"/>
        <w:rPr/>
      </w:pPr>
      <w:r>
        <w:rPr>
          <w:rStyle w:val="Code"/>
        </w:rPr>
        <w:t>--lower_ambig</w:t>
      </w:r>
      <w:r>
        <w:rPr/>
        <w:t xml:space="preserve"> and </w:t>
      </w:r>
      <w:r>
        <w:rPr>
          <w:rStyle w:val="Code"/>
        </w:rPr>
        <w:t>--upper_ambig</w:t>
      </w:r>
      <w:r>
        <w:rPr/>
        <w:t xml:space="preserve"> - float from range [0, 1], if fraction of reads introducing alternative allel, fall within this range the position will be classified as ambiguity. upper_ambig must be greater than lower_ambig. Default: [0.45; 0,55]</w:t>
      </w:r>
    </w:p>
    <w:p>
      <w:pPr>
        <w:pStyle w:val="TextBody"/>
        <w:rPr/>
      </w:pPr>
      <w:r>
        <w:rPr/>
        <w:t>--ref_genome_id - string, identifier of reference genome. Do not change unless you</w:t>
      </w:r>
    </w:p>
    <w:p>
      <w:pPr>
        <w:pStyle w:val="TextBody"/>
        <w:rPr/>
      </w:pPr>
      <w:r>
        <w:rPr/>
        <w:t>know what you are doing. Default: MN908947.3</w:t>
      </w:r>
    </w:p>
    <w:p>
      <w:pPr>
        <w:pStyle w:val="Heading3"/>
        <w:rPr/>
      </w:pPr>
      <w:bookmarkStart w:id="44" w:name="__RefHeading___Toc859_1555702251"/>
      <w:bookmarkEnd w:id="44"/>
      <w:r>
        <w:rPr/>
        <w:t>Nextflow parameters</w:t>
      </w:r>
    </w:p>
    <w:p>
      <w:pPr>
        <w:pStyle w:val="TextBody"/>
        <w:rPr/>
      </w:pPr>
      <w:r>
        <w:rPr/>
        <w:t>This parameters comes with Nextflow and should not be modified without solid reason.</w:t>
      </w:r>
    </w:p>
    <w:p>
      <w:pPr>
        <w:pStyle w:val="TextBody"/>
        <w:rPr/>
      </w:pPr>
      <w:r>
        <w:rPr>
          <w:rStyle w:val="Code"/>
        </w:rPr>
        <w:t>-config</w:t>
      </w:r>
      <w:r>
        <w:rPr/>
        <w:t xml:space="preserve"> path to nextflow config file. Default file nextflow.config is provided with repo.</w:t>
      </w:r>
    </w:p>
    <w:p>
      <w:pPr>
        <w:pStyle w:val="TextBody"/>
        <w:rPr/>
      </w:pPr>
      <w:r>
        <w:rPr>
          <w:rStyle w:val="Code"/>
        </w:rPr>
        <w:t>-with-report</w:t>
      </w:r>
      <w:r>
        <w:rPr/>
        <w:t xml:space="preserve"> path to report from pipeline execution. May be safely disabled. Default: </w:t>
      </w:r>
      <w:r>
        <w:rPr>
          <w:rStyle w:val="Path"/>
        </w:rPr>
        <w:t>report.html</w:t>
      </w:r>
    </w:p>
    <w:p>
      <w:pPr>
        <w:pStyle w:val="TextBody"/>
        <w:rPr/>
      </w:pPr>
      <w:r>
        <w:rPr>
          <w:rStyle w:val="Code"/>
        </w:rPr>
        <w:t>-with-dag</w:t>
      </w:r>
      <w:r>
        <w:rPr/>
        <w:t xml:space="preserve"> path to file with pipeline graph. May be safely disabled Default: </w:t>
      </w:r>
      <w:r>
        <w:rPr>
          <w:rStyle w:val="Path"/>
        </w:rPr>
        <w:t>flowchart-raw.png</w:t>
      </w:r>
    </w:p>
    <w:p>
      <w:pPr>
        <w:pStyle w:val="TextBody"/>
        <w:rPr/>
      </w:pPr>
      <w:r>
        <w:rPr>
          <w:rStyle w:val="Code"/>
        </w:rPr>
        <w:t>-with-docker</w:t>
      </w:r>
      <w:r>
        <w:rPr/>
        <w:t xml:space="preserve"> Docker image used for execution processes. Strictly required. Default: </w:t>
      </w:r>
      <w:r>
        <w:rPr>
          <w:rStyle w:val="Code"/>
        </w:rPr>
        <w:t>nf_illumina_sars-4.1-main:latest</w:t>
      </w:r>
    </w:p>
    <w:p>
      <w:pPr>
        <w:pStyle w:val="TextBody"/>
        <w:rPr/>
      </w:pPr>
      <w:r>
        <w:rPr>
          <w:rStyle w:val="Code"/>
        </w:rPr>
        <w:t>-resume</w:t>
      </w:r>
      <w:r>
        <w:rPr/>
        <w:t xml:space="preserve"> Control if restarted pipeline should use cached results or not. Irrelevant in production environment, since every sample will be always run exactly once. In development or during debug may significantly speed up things.</w:t>
      </w:r>
      <w:r>
        <w:br w:type="page"/>
      </w:r>
    </w:p>
    <w:p>
      <w:pPr>
        <w:pStyle w:val="Heading1"/>
        <w:rPr/>
      </w:pPr>
      <w:bookmarkStart w:id="45" w:name="__RefHeading___Toc864_1555702251"/>
      <w:bookmarkEnd w:id="45"/>
      <w:r>
        <w:rPr/>
        <w:t>Modules</w:t>
      </w:r>
    </w:p>
    <w:p>
      <w:pPr>
        <w:pStyle w:val="Heading2"/>
        <w:rPr/>
      </w:pPr>
      <w:bookmarkStart w:id="46" w:name="__RefHeading___Toc2740_900569203"/>
      <w:bookmarkEnd w:id="46"/>
      <w:r>
        <w:rPr/>
        <w:t>Module alphafold.nf</w:t>
      </w:r>
    </w:p>
    <w:p>
      <w:pPr>
        <w:pStyle w:val="TextBody"/>
        <w:rPr>
          <w:i/>
          <w:i/>
          <w:iCs/>
        </w:rPr>
      </w:pPr>
      <w:r>
        <w:rPr>
          <w:i w:val="false"/>
          <w:iCs w:val="false"/>
        </w:rPr>
        <w:t>Builds protein models</w:t>
      </w:r>
      <w:r>
        <w:rPr>
          <w:i/>
          <w:iCs/>
        </w:rPr>
        <w:t xml:space="preserve">. </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Fonts w:ascii="DejaVu Sans Mono" w:hAnsi="DejaVu Sans Mono"/>
              </w:rPr>
              <w:t xml:space="preserve"> </w:t>
            </w:r>
            <w:r>
              <w:rPr>
                <w:rStyle w:val="Code"/>
                <w:rFonts w:ascii="DejaVu Sans Mono" w:hAnsi="DejaVu Sans Mono"/>
              </w:rPr>
              <w:t>"structural_data": {}</w:t>
            </w:r>
          </w:p>
        </w:tc>
      </w:tr>
    </w:tbl>
    <w:p>
      <w:pPr>
        <w:pStyle w:val="Normal"/>
        <w:rPr/>
      </w:pPr>
      <w:r>
        <w:rPr/>
      </w:r>
    </w:p>
    <w:p>
      <w:pPr>
        <w:pStyle w:val="TextBody"/>
        <w:rPr>
          <w:i w:val="false"/>
          <w:i w:val="false"/>
          <w:iCs w:val="false"/>
        </w:rPr>
      </w:pPr>
      <w:r>
        <w:rPr>
          <w:i w:val="false"/>
          <w:iCs w:val="false"/>
        </w:rPr>
        <w:t>Proteins:</w:t>
      </w:r>
    </w:p>
    <w:p>
      <w:pPr>
        <w:pStyle w:val="TextBody"/>
        <w:numPr>
          <w:ilvl w:val="0"/>
          <w:numId w:val="11"/>
        </w:numPr>
        <w:rPr/>
      </w:pPr>
      <w:r>
        <w:rPr>
          <w:i w:val="false"/>
          <w:iCs w:val="false"/>
        </w:rPr>
        <w:t>SARS-Cov-2: Spike</w:t>
      </w:r>
    </w:p>
    <w:p>
      <w:pPr>
        <w:pStyle w:val="TextBody"/>
        <w:numPr>
          <w:ilvl w:val="0"/>
          <w:numId w:val="11"/>
        </w:numPr>
        <w:rPr/>
      </w:pPr>
      <w:r>
        <w:rPr>
          <w:i w:val="false"/>
          <w:iCs w:val="false"/>
        </w:rPr>
        <w:t>Influenza: HA and NA</w:t>
      </w:r>
    </w:p>
    <w:p>
      <w:pPr>
        <w:pStyle w:val="TextBody"/>
        <w:numPr>
          <w:ilvl w:val="0"/>
          <w:numId w:val="11"/>
        </w:numPr>
        <w:rPr/>
      </w:pPr>
      <w:r>
        <w:rPr>
          <w:i w:val="false"/>
          <w:iCs w:val="false"/>
        </w:rPr>
        <w:t>RSV: F and G</w:t>
      </w:r>
    </w:p>
    <w:p>
      <w:pPr>
        <w:pStyle w:val="TextBody"/>
        <w:rPr>
          <w:i w:val="false"/>
          <w:i w:val="false"/>
          <w:iCs w:val="false"/>
        </w:rPr>
      </w:pPr>
      <w:r>
        <w:rPr>
          <w:i w:val="false"/>
          <w:iCs w:val="false"/>
        </w:rPr>
      </w:r>
      <w:r>
        <w:br w:type="page"/>
      </w:r>
    </w:p>
    <w:p>
      <w:pPr>
        <w:pStyle w:val="Heading2"/>
        <w:rPr/>
      </w:pPr>
      <w:bookmarkStart w:id="47" w:name="__RefHeading___Toc2742_900569203"/>
      <w:bookmarkEnd w:id="47"/>
      <w:r>
        <w:rPr/>
        <w:t>Module bwa.nf</w:t>
      </w:r>
    </w:p>
    <w:p>
      <w:pPr>
        <w:pStyle w:val="TextBody"/>
        <w:rPr>
          <w:i/>
          <w:i/>
          <w:iCs/>
        </w:rPr>
      </w:pPr>
      <w:r>
        <w:rPr/>
        <w:t xml:space="preserve">Module align paired-end reads to a reference genome using BWA. The alignment is filtered and converted to BAM format with </w:t>
      </w:r>
      <w:r>
        <w:rPr>
          <w:rStyle w:val="Code"/>
        </w:rPr>
        <w:t>samtools view</w:t>
      </w:r>
      <w:r>
        <w:rPr/>
        <w:t xml:space="preserve">, sorted with </w:t>
      </w:r>
      <w:r>
        <w:rPr>
          <w:rStyle w:val="Code"/>
        </w:rPr>
        <w:t>samtools sort</w:t>
      </w:r>
      <w:r>
        <w:rPr/>
        <w:t xml:space="preserve">, and indexed with </w:t>
      </w:r>
      <w:r>
        <w:rPr>
          <w:rStyle w:val="Code"/>
        </w:rPr>
        <w:t>samtools index</w:t>
      </w:r>
      <w:r>
        <w:rPr/>
        <w:t>. This process generates an indexed BAM file containing properly aligned and sorted reads.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rPr/>
            </w:pPr>
            <w:r>
              <w:rPr/>
              <w:t>number of reads is less than threshold defined in</w:t>
              <w:br/>
            </w:r>
            <w:r>
              <w:rPr>
                <w:rStyle w:val="Code"/>
              </w:rPr>
              <w:t>${params.min_number_of_reads}</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10"/>
              </w:numPr>
              <w:rPr/>
            </w:pPr>
            <w:r>
              <w:rPr>
                <w:rStyle w:val="Code"/>
                <w:rFonts w:ascii="DejaVu Sans Mono" w:hAnsi="DejaVu Sans Mono"/>
              </w:rPr>
              <w:t>"viral_mapping_data": {}</w:t>
            </w:r>
          </w:p>
        </w:tc>
      </w:tr>
    </w:tbl>
    <w:p>
      <w:pPr>
        <w:pStyle w:val="Normal"/>
        <w:rPr>
          <w:i/>
          <w:i/>
          <w:iCs/>
        </w:rPr>
      </w:pPr>
      <w:r>
        <w:rPr>
          <w:i/>
          <w:iCs/>
        </w:rPr>
      </w:r>
    </w:p>
    <w:p>
      <w:pPr>
        <w:pStyle w:val="Normal"/>
        <w:rPr>
          <w:i/>
          <w:i/>
          <w:iCs/>
        </w:rPr>
      </w:pPr>
      <w:r>
        <w:rPr>
          <w:i/>
          <w:iCs/>
        </w:rPr>
      </w:r>
    </w:p>
    <w:p>
      <w:pPr>
        <w:pStyle w:val="Codebox"/>
        <w:rPr/>
      </w:pPr>
      <w:r>
        <w:rPr/>
        <w:t xml:space="preserve">    </w:t>
      </w:r>
      <w:r>
        <w:rPr/>
        <w:t>bwa index ${reference_fasta}</w:t>
      </w:r>
    </w:p>
    <w:p>
      <w:pPr>
        <w:pStyle w:val="Codebox"/>
        <w:rPr/>
      </w:pPr>
      <w:r>
        <w:rPr/>
        <w:t xml:space="preserve">    </w:t>
      </w:r>
      <w:r>
        <w:rPr/>
        <w:t>bwa mem -t ${params.threads} -T 30 ${reference_fasta} ${reads[0]} ${reads[1]} | \</w:t>
      </w:r>
    </w:p>
    <w:p>
      <w:pPr>
        <w:pStyle w:val="Codebox"/>
        <w:rPr/>
      </w:pPr>
      <w:r>
        <w:rPr/>
        <w:t xml:space="preserve">        </w:t>
      </w:r>
      <w:r>
        <w:rPr/>
        <w:t>samtools view -@ ${params.threads} -Sb -f 3 -F 2048 - | \</w:t>
      </w:r>
    </w:p>
    <w:p>
      <w:pPr>
        <w:pStyle w:val="Codebox"/>
        <w:rPr/>
      </w:pPr>
      <w:r>
        <w:rPr/>
        <w:t xml:space="preserve">        </w:t>
      </w:r>
      <w:r>
        <w:rPr/>
        <w:t>samtools sort -@ ${params.threads} -o mapped_reads.bam -</w:t>
      </w:r>
    </w:p>
    <w:p>
      <w:pPr>
        <w:pStyle w:val="Codebox"/>
        <w:rPr/>
      </w:pPr>
      <w:r>
        <w:rPr/>
        <w:t xml:space="preserve">    </w:t>
      </w:r>
      <w:r>
        <w:rPr/>
        <w:t>samtools index mapped_reads.bam</w:t>
      </w:r>
      <w:r>
        <w:br w:type="page"/>
      </w:r>
    </w:p>
    <w:p>
      <w:pPr>
        <w:pStyle w:val="Heading2"/>
        <w:rPr/>
      </w:pPr>
      <w:bookmarkStart w:id="48" w:name="__RefHeading___Toc2744_900569203"/>
      <w:bookmarkEnd w:id="48"/>
      <w:r>
        <w:rPr/>
        <w:t>Module coinfection_analysis.nf</w:t>
      </w:r>
    </w:p>
    <w:p>
      <w:pPr>
        <w:pStyle w:val="TextBody"/>
        <w:rPr>
          <w:i/>
          <w:i/>
          <w:iCs/>
        </w:rPr>
      </w:pPr>
      <w:r>
        <w:rPr/>
        <w:t>The coinfection analysis module analyzes allele distribution and compares it with known coinfected samples using the Smirnoff-Kolmogorov test.</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0"/>
              </w:numPr>
              <w:ind w:left="720" w:hanging="0"/>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rFonts w:ascii="DejaVu Sans Mono" w:hAnsi="DejaVu Sans Mono"/>
              </w:rPr>
            </w:pPr>
            <w:r>
              <w:rPr>
                <w:rFonts w:ascii="DejaVu Sans Mono" w:hAnsi="DejaVu Sans Mono"/>
              </w:rPr>
              <w:t xml:space="preserve"> </w:t>
            </w:r>
            <w:r>
              <w:rPr>
                <w:rStyle w:val="Code"/>
                <w:rFonts w:ascii="DejaVu Sans Mono" w:hAnsi="DejaVu Sans Mono"/>
              </w:rPr>
              <w:t>"sars_data": {}</w:t>
            </w:r>
          </w:p>
        </w:tc>
      </w:tr>
    </w:tbl>
    <w:p>
      <w:pPr>
        <w:pStyle w:val="Normal"/>
        <w:rPr/>
      </w:pPr>
      <w:r>
        <w:rPr/>
      </w:r>
    </w:p>
    <w:p>
      <w:pPr>
        <w:pStyle w:val="TextBody"/>
        <w:rPr>
          <w:i/>
          <w:i/>
          <w:iCs/>
        </w:rPr>
      </w:pPr>
      <w:r>
        <w:rPr/>
        <w:t xml:space="preserve">The coinfection analysis is based on similarity to 3 known samples from EQA2023. It is performed by custom script: </w:t>
      </w:r>
      <w:r>
        <w:rPr>
          <w:rStyle w:val="Path"/>
        </w:rPr>
        <w:t>predict_coinfection_illumina.py</w:t>
      </w:r>
      <w:r>
        <w:rPr/>
        <w:t>. The new version of the script allows specifying any number of samples that are known to be coinfected. Simply add additional files as positional arguments.</w:t>
      </w:r>
      <w:r>
        <w:br w:type="page"/>
      </w:r>
    </w:p>
    <w:p>
      <w:pPr>
        <w:pStyle w:val="Heading2"/>
        <w:rPr/>
      </w:pPr>
      <w:bookmarkStart w:id="49" w:name="__RefHeading___Toc2746_900569203"/>
      <w:bookmarkEnd w:id="49"/>
      <w:r>
        <w:rPr/>
        <w:t>Module coinfection_ivar.nf</w:t>
      </w:r>
    </w:p>
    <w:p>
      <w:pPr>
        <w:pStyle w:val="TextBody"/>
        <w:rPr/>
      </w:pPr>
      <w:r>
        <w:rPr/>
        <w:t>Preparatory module whose task is to trim primer sequences from the sequences.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pPr>
      <w:r>
        <w:rPr/>
      </w:r>
    </w:p>
    <w:p>
      <w:pPr>
        <w:pStyle w:val="Codebox"/>
        <w:rPr>
          <w:i/>
          <w:i/>
          <w:iCs/>
        </w:rPr>
      </w:pPr>
      <w:r>
        <w:rPr/>
        <w:t xml:space="preserve">    </w:t>
      </w:r>
      <w:r>
        <w:rPr/>
        <w:t>ivar trim -i ${mapped_reads} \</w:t>
      </w:r>
    </w:p>
    <w:p>
      <w:pPr>
        <w:pStyle w:val="Codebox"/>
        <w:rPr>
          <w:i/>
          <w:i/>
          <w:iCs/>
        </w:rPr>
      </w:pPr>
      <w:r>
        <w:rPr/>
        <w:t xml:space="preserve">              </w:t>
      </w:r>
      <w:r>
        <w:rPr/>
        <w:t>-b ${primers} \</w:t>
      </w:r>
    </w:p>
    <w:p>
      <w:pPr>
        <w:pStyle w:val="Codebox"/>
        <w:rPr>
          <w:i/>
          <w:i/>
          <w:iCs/>
        </w:rPr>
      </w:pPr>
      <w:r>
        <w:rPr/>
        <w:t xml:space="preserve">              </w:t>
      </w:r>
      <w:r>
        <w:rPr/>
        <w:t>-m ${params.length} \</w:t>
      </w:r>
    </w:p>
    <w:p>
      <w:pPr>
        <w:pStyle w:val="Codebox"/>
        <w:rPr>
          <w:i/>
          <w:i/>
          <w:iCs/>
        </w:rPr>
      </w:pPr>
      <w:r>
        <w:rPr/>
        <w:t xml:space="preserve">              </w:t>
      </w:r>
      <w:r>
        <w:rPr/>
        <w:t>-q ${params.quality_initial} \</w:t>
      </w:r>
    </w:p>
    <w:p>
      <w:pPr>
        <w:pStyle w:val="Codebox"/>
        <w:rPr>
          <w:i/>
          <w:i/>
          <w:iCs/>
        </w:rPr>
      </w:pPr>
      <w:r>
        <w:rPr/>
        <w:t xml:space="preserve">              </w:t>
      </w:r>
      <w:r>
        <w:rPr/>
        <w:t>-e \</w:t>
      </w:r>
    </w:p>
    <w:p>
      <w:pPr>
        <w:pStyle w:val="Codebox"/>
        <w:rPr>
          <w:i/>
          <w:i/>
          <w:iCs/>
        </w:rPr>
      </w:pPr>
      <w:r>
        <w:rPr/>
        <w:t xml:space="preserve">              </w:t>
      </w:r>
      <w:r>
        <w:rPr/>
        <w:t>-p for_contamination</w:t>
      </w:r>
    </w:p>
    <w:p>
      <w:pPr>
        <w:pStyle w:val="Codebox"/>
        <w:rPr>
          <w:i/>
          <w:i/>
          <w:iCs/>
        </w:rPr>
      </w:pPr>
      <w:r>
        <w:rPr/>
        <w:t>(...)</w:t>
        <w:br/>
        <w:t>samtools mpileup --max-depth 10000 \</w:t>
      </w:r>
    </w:p>
    <w:p>
      <w:pPr>
        <w:pStyle w:val="Codebox"/>
        <w:rPr>
          <w:i/>
          <w:i/>
          <w:iCs/>
        </w:rPr>
      </w:pPr>
      <w:r>
        <w:rPr/>
        <w:t xml:space="preserve">                   </w:t>
      </w:r>
      <w:r>
        <w:rPr/>
        <w:t>--fasta-ref  ${ref_genome_with_index[final_index]} \</w:t>
      </w:r>
    </w:p>
    <w:p>
      <w:pPr>
        <w:pStyle w:val="Codebox"/>
        <w:rPr>
          <w:i/>
          <w:i/>
          <w:iCs/>
        </w:rPr>
      </w:pPr>
      <w:r>
        <w:rPr/>
        <w:t xml:space="preserve">                   </w:t>
      </w:r>
      <w:r>
        <w:rPr/>
        <w:t>--min-BQ ${params.quality_snp} \</w:t>
      </w:r>
    </w:p>
    <w:p>
      <w:pPr>
        <w:pStyle w:val="Codebox"/>
        <w:rPr>
          <w:i/>
          <w:i/>
          <w:iCs/>
        </w:rPr>
      </w:pPr>
      <w:r>
        <w:rPr/>
        <w:t xml:space="preserve">                   </w:t>
      </w:r>
      <w:r>
        <w:rPr/>
        <w:t>for_contamination_sorted.bam &gt;&gt; for_contamination.mpileup</w:t>
      </w:r>
      <w:r>
        <w:br w:type="page"/>
      </w:r>
    </w:p>
    <w:p>
      <w:pPr>
        <w:pStyle w:val="Heading2"/>
        <w:rPr/>
      </w:pPr>
      <w:bookmarkStart w:id="50" w:name="__RefHeading___Toc2748_900569203"/>
      <w:bookmarkEnd w:id="50"/>
      <w:r>
        <w:rPr/>
        <w:t>Module coinfection_varscan.nf</w:t>
      </w:r>
    </w:p>
    <w:p>
      <w:pPr>
        <w:pStyle w:val="TextBody"/>
        <w:rPr>
          <w:i/>
          <w:i/>
          <w:iCs/>
        </w:rPr>
      </w:pPr>
      <w:r>
        <w:rPr/>
        <w:t xml:space="preserve">Result of </w:t>
      </w:r>
      <w:r>
        <w:rPr/>
        <w:fldChar w:fldCharType="begin"/>
      </w:r>
      <w:r>
        <w:rPr/>
        <w:instrText xml:space="preserve"> REF __RefHeading___Toc2746_900569203 \h </w:instrText>
      </w:r>
      <w:r>
        <w:rPr/>
        <w:fldChar w:fldCharType="separate"/>
      </w:r>
      <w:r>
        <w:rPr/>
        <w:t>Module coinfection_ivar.nf</w:t>
      </w:r>
      <w:r>
        <w:rPr/>
        <w:fldChar w:fldCharType="end"/>
      </w:r>
      <w:r>
        <w:rPr/>
        <w:t xml:space="preserve"> is passed to the VarScan program, which identifies mutations in unfiltered samples.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pPr>
      <w:r>
        <w:rPr/>
        <w:t xml:space="preserve">    </w:t>
      </w:r>
      <w:r>
        <w:rPr/>
        <w:t>varscan_qual=`echo "${params.quality_snp} - 1" | bc -l`</w:t>
      </w:r>
    </w:p>
    <w:p>
      <w:pPr>
        <w:pStyle w:val="Codebox"/>
        <w:rPr/>
      </w:pPr>
      <w:r>
        <w:rPr/>
        <w:t xml:space="preserve">    </w:t>
      </w:r>
      <w:r>
        <w:rPr/>
        <w:t>java -jar /opt/varscan/VarScan.v2.4.6.jar pileup2snp ${for_contamination_mpileup} \</w:t>
      </w:r>
    </w:p>
    <w:p>
      <w:pPr>
        <w:pStyle w:val="Codebox"/>
        <w:rPr/>
      </w:pPr>
      <w:r>
        <w:rPr/>
        <w:t xml:space="preserve">                                                     </w:t>
      </w:r>
      <w:r>
        <w:rPr/>
        <w:t>--min-avg-qual \${varscan_qual} \</w:t>
      </w:r>
    </w:p>
    <w:p>
      <w:pPr>
        <w:pStyle w:val="Codebox"/>
        <w:rPr/>
      </w:pPr>
      <w:r>
        <w:rPr/>
        <w:t xml:space="preserve">                                                     </w:t>
      </w:r>
      <w:r>
        <w:rPr/>
        <w:t>--p-value 0.9 \</w:t>
      </w:r>
    </w:p>
    <w:p>
      <w:pPr>
        <w:pStyle w:val="Codebox"/>
        <w:rPr/>
      </w:pPr>
      <w:r>
        <w:rPr/>
        <w:t xml:space="preserve">                                                     </w:t>
      </w:r>
      <w:r>
        <w:rPr/>
        <w:t>--min-var-freq 0.05 \</w:t>
      </w:r>
    </w:p>
    <w:p>
      <w:pPr>
        <w:pStyle w:val="Codebox"/>
        <w:rPr/>
      </w:pPr>
      <w:r>
        <w:rPr/>
        <w:t xml:space="preserve">                                                     </w:t>
      </w:r>
      <w:r>
        <w:rPr/>
        <w:t>--min-coverage 20 \</w:t>
      </w:r>
    </w:p>
    <w:p>
      <w:pPr>
        <w:pStyle w:val="Codebox"/>
        <w:rPr/>
      </w:pPr>
      <w:r>
        <w:rPr/>
        <w:t xml:space="preserve">                                                     </w:t>
      </w:r>
      <w:r>
        <w:rPr/>
        <w:t>--variants \</w:t>
      </w:r>
    </w:p>
    <w:p>
      <w:pPr>
        <w:pStyle w:val="Codebox"/>
        <w:rPr/>
      </w:pPr>
      <w:r>
        <w:rPr/>
        <w:t xml:space="preserve">                                                     </w:t>
      </w:r>
      <w:r>
        <w:rPr/>
        <w:t>--min-reads2 0 &gt; detected_variants_varscan_contamination.txt</w:t>
      </w:r>
      <w:r>
        <w:br w:type="page"/>
      </w:r>
    </w:p>
    <w:p>
      <w:pPr>
        <w:pStyle w:val="Heading2"/>
        <w:rPr/>
      </w:pPr>
      <w:bookmarkStart w:id="51" w:name="__RefHeading___Toc2750_900569203"/>
      <w:bookmarkEnd w:id="51"/>
      <w:r>
        <w:rPr/>
        <w:t>Module consensus.nf</w:t>
      </w:r>
    </w:p>
    <w:p>
      <w:pPr>
        <w:pStyle w:val="TextBody"/>
        <w:rPr>
          <w:i w:val="false"/>
          <w:i w:val="false"/>
          <w:iCs w:val="false"/>
        </w:rPr>
      </w:pPr>
      <w:r>
        <w:rPr>
          <w:i w:val="false"/>
          <w:iCs w:val="false"/>
        </w:rPr>
        <w:t>Consensus module predicts consensus sequence based on mutations identified by SNP Callers (</w:t>
      </w:r>
      <w:r>
        <w:rPr>
          <w:i w:val="false"/>
          <w:iCs w:val="false"/>
        </w:rPr>
        <w:fldChar w:fldCharType="begin"/>
      </w:r>
      <w:r>
        <w:rPr>
          <w:i w:val="false"/>
          <w:iCs w:val="false"/>
        </w:rPr>
        <w:instrText xml:space="preserve"> REF __RefHeading___Toc2768_900569203 \h </w:instrText>
      </w:r>
      <w:r>
        <w:rPr>
          <w:i w:val="false"/>
          <w:iCs w:val="false"/>
        </w:rPr>
        <w:fldChar w:fldCharType="separate"/>
      </w:r>
      <w:r>
        <w:rPr>
          <w:i w:val="false"/>
          <w:iCs w:val="false"/>
        </w:rPr>
        <w:t>Module freeBayes.nf</w:t>
      </w:r>
      <w:r>
        <w:rPr>
          <w:i w:val="false"/>
          <w:iCs w:val="false"/>
        </w:rPr>
        <w:fldChar w:fldCharType="end"/>
      </w:r>
      <w:r>
        <w:rPr>
          <w:i w:val="false"/>
          <w:iCs w:val="false"/>
        </w:rPr>
        <w:t xml:space="preserve">, </w:t>
      </w:r>
      <w:r>
        <w:rPr>
          <w:i w:val="false"/>
          <w:iCs w:val="false"/>
        </w:rPr>
        <w:fldChar w:fldCharType="begin"/>
      </w:r>
      <w:r>
        <w:rPr>
          <w:i w:val="false"/>
          <w:iCs w:val="false"/>
        </w:rPr>
        <w:instrText xml:space="preserve"> REF __RefHeading___Toc2786_900569203 \h </w:instrText>
      </w:r>
      <w:r>
        <w:rPr>
          <w:i w:val="false"/>
          <w:iCs w:val="false"/>
        </w:rPr>
        <w:fldChar w:fldCharType="separate"/>
      </w:r>
      <w:r>
        <w:rPr>
          <w:i w:val="false"/>
          <w:iCs w:val="false"/>
        </w:rPr>
        <w:t>Module lofreq.nf</w:t>
      </w:r>
      <w:r>
        <w:rPr>
          <w:i w:val="false"/>
          <w:iCs w:val="false"/>
        </w:rPr>
        <w:fldChar w:fldCharType="end"/>
      </w:r>
      <w:r>
        <w:rPr>
          <w:i w:val="false"/>
          <w:iCs w:val="false"/>
        </w:rPr>
        <w:t xml:space="preserve">, </w:t>
      </w:r>
      <w:r>
        <w:rPr>
          <w:i w:val="false"/>
          <w:iCs w:val="false"/>
        </w:rPr>
        <w:fldChar w:fldCharType="begin"/>
      </w:r>
      <w:r>
        <w:rPr>
          <w:i w:val="false"/>
          <w:iCs w:val="false"/>
        </w:rPr>
        <w:instrText xml:space="preserve"> REF __RefHeading___Toc2826_900569203 \h </w:instrText>
      </w:r>
      <w:r>
        <w:rPr>
          <w:i w:val="false"/>
          <w:iCs w:val="false"/>
        </w:rPr>
        <w:fldChar w:fldCharType="separate"/>
      </w:r>
      <w:r>
        <w:rPr>
          <w:i w:val="false"/>
          <w:iCs w:val="false"/>
        </w:rPr>
        <w:t>Module varscan.nf</w:t>
      </w:r>
      <w:r>
        <w:rPr>
          <w:i w:val="false"/>
          <w:iCs w:val="false"/>
        </w:rPr>
        <w:fldChar w:fldCharType="end"/>
      </w:r>
      <w:r>
        <w:rPr>
          <w:i w:val="false"/>
          <w:iCs w:val="false"/>
        </w:rPr>
        <w:t xml:space="preserve">) and masks the sequence. </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 xml:space="preserve"> </w:t>
            </w:r>
            <w:r>
              <w:rPr>
                <w:rStyle w:val="Code"/>
              </w:rPr>
              <w:t>"genome_files_data": {}</w:t>
            </w:r>
          </w:p>
          <w:p>
            <w:pPr>
              <w:pStyle w:val="TableContents"/>
              <w:widowControl w:val="false"/>
              <w:rPr/>
            </w:pPr>
            <w:r>
              <w:rPr/>
              <w:t xml:space="preserve"> </w:t>
            </w:r>
            <w:r>
              <w:rPr>
                <w:rStyle w:val="Code"/>
              </w:rPr>
              <w:t>"viral_genome_data": {}</w:t>
            </w:r>
          </w:p>
          <w:p>
            <w:pPr>
              <w:pStyle w:val="TableContents"/>
              <w:widowControl w:val="false"/>
              <w:rPr/>
            </w:pPr>
            <w:r>
              <w:rPr/>
              <w:t xml:space="preserve"> </w:t>
            </w:r>
            <w:r>
              <w:rPr/>
              <w:t>(only for Nanopore platform - corresponding keys for illumina are returned by manta)</w:t>
            </w:r>
          </w:p>
          <w:p>
            <w:pPr>
              <w:pStyle w:val="TableContents"/>
              <w:widowControl w:val="false"/>
              <w:rPr/>
            </w:pPr>
            <w:r>
              <w:rPr/>
            </w:r>
          </w:p>
        </w:tc>
      </w:tr>
    </w:tbl>
    <w:p>
      <w:pPr>
        <w:pStyle w:val="Normal"/>
        <w:rPr>
          <w:i/>
          <w:i/>
          <w:iCs/>
        </w:rPr>
      </w:pPr>
      <w:r>
        <w:rPr>
          <w:i/>
          <w:iCs/>
        </w:rPr>
      </w:r>
    </w:p>
    <w:p>
      <w:pPr>
        <w:pStyle w:val="Normal"/>
        <w:rPr/>
      </w:pPr>
      <w:r>
        <w:rPr/>
        <w:t>There are two custom scripts for this: one for the Illumina platform and another for the Nanopore platform.</w:t>
      </w:r>
    </w:p>
    <w:p>
      <w:pPr>
        <w:pStyle w:val="Normal"/>
        <w:numPr>
          <w:ilvl w:val="0"/>
          <w:numId w:val="12"/>
        </w:numPr>
        <w:rPr/>
      </w:pPr>
      <w:r>
        <w:rPr>
          <w:rStyle w:val="Path"/>
        </w:rPr>
        <w:t>make_consensus.py</w:t>
      </w:r>
      <w:r>
        <w:rPr/>
        <w:t xml:space="preserve"> for illumina</w:t>
      </w:r>
    </w:p>
    <w:p>
      <w:pPr>
        <w:pStyle w:val="Normal"/>
        <w:numPr>
          <w:ilvl w:val="0"/>
          <w:numId w:val="12"/>
        </w:numPr>
        <w:rPr/>
      </w:pPr>
      <w:r>
        <w:rPr>
          <w:rStyle w:val="Path"/>
        </w:rPr>
        <w:t>make_consensus_nanopore.py</w:t>
      </w:r>
      <w:r>
        <w:rPr/>
        <w:t xml:space="preserve"> for nanopore</w:t>
      </w:r>
    </w:p>
    <w:p>
      <w:pPr>
        <w:pStyle w:val="Normal"/>
        <w:rPr/>
      </w:pPr>
      <w:r>
        <w:rPr/>
      </w:r>
      <w:r>
        <w:br w:type="page"/>
      </w:r>
    </w:p>
    <w:p>
      <w:pPr>
        <w:pStyle w:val="Heading2"/>
        <w:rPr/>
      </w:pPr>
      <w:bookmarkStart w:id="52" w:name="__RefHeading___Toc2752_900569203"/>
      <w:bookmarkEnd w:id="52"/>
      <w:r>
        <w:rPr/>
        <w:t>Module copy_genome_and_primers.nf</w:t>
      </w:r>
    </w:p>
    <w:p>
      <w:pPr>
        <w:pStyle w:val="TextBody"/>
        <w:rPr>
          <w:i/>
          <w:i/>
          <w:iCs/>
        </w:rPr>
      </w:pPr>
      <w:r>
        <w:rPr/>
        <w:t>Helper modules that pass genome from within container to the nextflow work dir. There is no difference between lllumina and Nanopore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r>
        <w:br w:type="page"/>
      </w:r>
    </w:p>
    <w:p>
      <w:pPr>
        <w:pStyle w:val="Heading2"/>
        <w:rPr/>
      </w:pPr>
      <w:bookmarkStart w:id="53" w:name="__RefHeading___Toc2754_900569203"/>
      <w:bookmarkEnd w:id="53"/>
      <w:r>
        <w:rPr/>
        <w:t>Module dehumanization.nf</w:t>
      </w:r>
    </w:p>
    <w:p>
      <w:pPr>
        <w:pStyle w:val="TextBody"/>
        <w:rPr>
          <w:i/>
          <w:i/>
          <w:iCs/>
        </w:rPr>
      </w:pPr>
      <w:r>
        <w:rPr/>
        <w:t>This module removes reads that did not map to the expected organism species.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 xml:space="preserve"> </w:t>
            </w:r>
            <w:r>
              <w:rPr>
                <w:rStyle w:val="Code"/>
                <w:rFonts w:ascii="DejaVu Sans Mono" w:hAnsi="DejaVu Sans Mono"/>
              </w:rPr>
              <w:t>"dehumanized_data": {}</w:t>
            </w:r>
          </w:p>
        </w:tc>
      </w:tr>
    </w:tbl>
    <w:p>
      <w:pPr>
        <w:pStyle w:val="Normal"/>
        <w:rPr>
          <w:i/>
          <w:i/>
          <w:iCs/>
        </w:rPr>
      </w:pPr>
      <w:r>
        <w:rPr>
          <w:i/>
          <w:iCs/>
        </w:rPr>
      </w:r>
    </w:p>
    <w:p>
      <w:pPr>
        <w:pStyle w:val="Normal"/>
        <w:rPr>
          <w:i/>
          <w:i/>
          <w:iCs/>
        </w:rPr>
      </w:pPr>
      <w:r>
        <w:rPr>
          <w:i/>
          <w:iCs/>
        </w:rPr>
      </w:r>
    </w:p>
    <w:p>
      <w:pPr>
        <w:pStyle w:val="Normal"/>
        <w:rPr>
          <w:i/>
          <w:i/>
          <w:iCs/>
        </w:rPr>
      </w:pPr>
      <w:r>
        <w:rPr/>
        <w:t xml:space="preserve">The module uses </w:t>
      </w:r>
      <w:r>
        <w:rPr>
          <w:rStyle w:val="Code"/>
        </w:rPr>
        <w:t>samtools</w:t>
      </w:r>
      <w:r>
        <w:rPr/>
        <w:t xml:space="preserve"> for identifying mapped reads. Then, using the </w:t>
      </w:r>
      <w:r>
        <w:rPr>
          <w:rStyle w:val="Code"/>
        </w:rPr>
        <w:t>seqkit</w:t>
      </w:r>
      <w:r>
        <w:rPr/>
        <w:t xml:space="preserve"> program, FASTQ files are filtered with the list of identifiers generated in the first step.</w:t>
      </w:r>
      <w:r>
        <w:br w:type="page"/>
      </w:r>
    </w:p>
    <w:p>
      <w:pPr>
        <w:pStyle w:val="Heading2"/>
        <w:rPr/>
      </w:pPr>
      <w:bookmarkStart w:id="54" w:name="__RefHeading___Toc2756_900569203"/>
      <w:bookmarkEnd w:id="54"/>
      <w:r>
        <w:rPr/>
        <w:t>Module detect_subtype_nanopore.nf</w:t>
      </w:r>
    </w:p>
    <w:p>
      <w:pPr>
        <w:pStyle w:val="TextBody"/>
        <w:rPr>
          <w:i/>
          <w:i/>
          <w:iCs/>
        </w:rPr>
      </w:pPr>
      <w:r>
        <w:rPr>
          <w:i/>
          <w:iCs/>
        </w:rPr>
        <w:t>Short description</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r>
        <w:br w:type="page"/>
      </w:r>
    </w:p>
    <w:p>
      <w:pPr>
        <w:pStyle w:val="Heading2"/>
        <w:rPr/>
      </w:pPr>
      <w:bookmarkStart w:id="55" w:name="__RefHeading___Toc2758_900569203"/>
      <w:bookmarkEnd w:id="55"/>
      <w:r>
        <w:rPr/>
        <w:t>Module detect_subtype.nf</w:t>
      </w:r>
    </w:p>
    <w:p>
      <w:pPr>
        <w:pStyle w:val="TextBody"/>
        <w:rPr>
          <w:i/>
          <w:i/>
          <w:iCs/>
        </w:rPr>
      </w:pPr>
      <w:r>
        <w:rPr/>
        <w:t>This module detects the INFL subtype by mapping reads to predefined genomes. We record the scores for each segment (creating a genome vs. segments matrix) which is then passed to the reassortment detection module, where hybrid_genome will be constructed.</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INFL</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INFL</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t xml:space="preserve"> </w:t>
            </w:r>
            <w:r>
              <w:rPr/>
              <w:t>To be added (vide issue #18).</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i/>
          <w:iCs/>
        </w:rPr>
      </w:r>
      <w:r>
        <w:br w:type="page"/>
      </w:r>
    </w:p>
    <w:p>
      <w:pPr>
        <w:pStyle w:val="Heading2"/>
        <w:rPr/>
      </w:pPr>
      <w:bookmarkStart w:id="56" w:name="__RefHeading___Toc2760_900569203"/>
      <w:bookmarkEnd w:id="56"/>
      <w:r>
        <w:rPr/>
        <w:t>Module detect_type.nf</w:t>
      </w:r>
    </w:p>
    <w:p>
      <w:pPr>
        <w:pStyle w:val="TextBody"/>
        <w:rPr>
          <w:i/>
          <w:i/>
          <w:iCs/>
        </w:rPr>
      </w:pPr>
      <w:r>
        <w:rPr/>
        <w:t>This module detects the RSV type by mapping reads to predefined genomes. We select the genome with the highest total mapping score.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 xml:space="preserve">Number of reads for A and B is less than predefined threshold (vide </w:t>
            </w:r>
            <w:hyperlink r:id="rId28">
              <w:r>
                <w:rPr>
                  <w:rStyle w:val="InternetLink"/>
                </w:rPr>
                <w:t>issue #19</w:t>
              </w:r>
            </w:hyperlink>
            <w:r>
              <w:rPr/>
              <w:t>)</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rFonts w:ascii="DejaVu Sans Mono" w:hAnsi="DejaVu Sans Mono"/>
              </w:rPr>
            </w:pPr>
            <w:r>
              <w:rPr>
                <w:rFonts w:ascii="DejaVu Sans Mono" w:hAnsi="DejaVu Sans Mono"/>
              </w:rPr>
              <w:t xml:space="preserve"> </w:t>
            </w:r>
            <w:r>
              <w:rPr>
                <w:rStyle w:val="Code"/>
                <w:rFonts w:ascii="DejaVu Sans Mono" w:hAnsi="DejaVu Sans Mono"/>
              </w:rPr>
              <w:t>"rsv_data": {}</w:t>
            </w:r>
          </w:p>
        </w:tc>
      </w:tr>
    </w:tbl>
    <w:p>
      <w:pPr>
        <w:pStyle w:val="Normal"/>
        <w:rPr>
          <w:i/>
          <w:i/>
          <w:iCs/>
        </w:rPr>
      </w:pPr>
      <w:r>
        <w:rPr>
          <w:i/>
          <w:iCs/>
        </w:rPr>
      </w:r>
      <w:r>
        <w:br w:type="page"/>
      </w:r>
    </w:p>
    <w:p>
      <w:pPr>
        <w:pStyle w:val="Heading2"/>
        <w:rPr/>
      </w:pPr>
      <w:bookmarkStart w:id="57" w:name="__RefHeading___Toc866_1555702251"/>
      <w:bookmarkEnd w:id="57"/>
      <w:r>
        <w:rPr/>
        <w:t>Module fastqc.nf</w:t>
      </w:r>
    </w:p>
    <w:p>
      <w:pPr>
        <w:pStyle w:val="TextBody"/>
        <w:rPr/>
      </w:pPr>
      <w:r>
        <w:rPr/>
        <w:t xml:space="preserve">The </w:t>
      </w:r>
      <w:r>
        <w:rPr>
          <w:rStyle w:val="Code"/>
        </w:rPr>
        <w:t>fastqc</w:t>
      </w:r>
      <w:r>
        <w:rPr/>
        <w:t xml:space="preserve"> module performs quality control (QC) on paired-end sequencing reads. It generates statistical summaries and visualizations of read quality, length, and position-based metrics. It also evaluates if the input reads pass predefined QC thresholds, producing JSON files with detailed results and an overall QC status.</w:t>
      </w:r>
    </w:p>
    <w:tbl>
      <w:tblPr>
        <w:tblW w:w="9643" w:type="dxa"/>
        <w:jc w:val="left"/>
        <w:tblInd w:w="28" w:type="dxa"/>
        <w:tblLayout w:type="fixed"/>
        <w:tblCellMar>
          <w:top w:w="28" w:type="dxa"/>
          <w:left w:w="28" w:type="dxa"/>
          <w:bottom w:w="0" w:type="dxa"/>
          <w:right w:w="28" w:type="dxa"/>
        </w:tblCellMar>
      </w:tblPr>
      <w:tblGrid>
        <w:gridCol w:w="1023"/>
        <w:gridCol w:w="559"/>
        <w:gridCol w:w="911"/>
        <w:gridCol w:w="2964"/>
        <w:gridCol w:w="4185"/>
      </w:tblGrid>
      <w:tr>
        <w:trPr/>
        <w:tc>
          <w:tcPr>
            <w:tcW w:w="102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34"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18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23"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34"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18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23"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59"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149"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criterium 1</w:t>
            </w:r>
          </w:p>
          <w:p>
            <w:pPr>
              <w:pStyle w:val="TableContents"/>
              <w:widowControl w:val="false"/>
              <w:numPr>
                <w:ilvl w:val="0"/>
                <w:numId w:val="9"/>
              </w:numPr>
              <w:jc w:val="left"/>
              <w:rPr/>
            </w:pPr>
            <w:r>
              <w:rPr/>
              <w:t>criterium 2</w:t>
            </w:r>
          </w:p>
          <w:p>
            <w:pPr>
              <w:pStyle w:val="TableContents"/>
              <w:widowControl w:val="false"/>
              <w:numPr>
                <w:ilvl w:val="0"/>
                <w:numId w:val="9"/>
              </w:numPr>
              <w:jc w:val="left"/>
              <w:rPr/>
            </w:pPr>
            <w:r>
              <w:rPr/>
              <w:t>criterium 3</w:t>
            </w:r>
          </w:p>
        </w:tc>
      </w:tr>
      <w:tr>
        <w:trPr/>
        <w:tc>
          <w:tcPr>
            <w:tcW w:w="1023"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59"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149"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 xml:space="preserve"> </w:t>
            </w:r>
            <w:r>
              <w:rPr>
                <w:rStyle w:val="Code"/>
              </w:rPr>
              <w:t>{"output": "sequencing_summary_data": [...]}</w:t>
            </w:r>
          </w:p>
        </w:tc>
      </w:tr>
    </w:tbl>
    <w:p>
      <w:pPr>
        <w:pStyle w:val="Heading3"/>
        <w:rPr/>
      </w:pPr>
      <w:bookmarkStart w:id="58" w:name="__RefHeading___Toc868_1555702251"/>
      <w:bookmarkEnd w:id="58"/>
      <w:r>
        <w:rPr/>
        <w:t>Input</w:t>
      </w:r>
    </w:p>
    <w:p>
      <w:pPr>
        <w:pStyle w:val="TextBody"/>
        <w:rPr/>
      </w:pPr>
      <w:r>
        <w:rPr>
          <w:rStyle w:val="Code"/>
        </w:rPr>
        <w:t>sampleId</w:t>
      </w:r>
      <w:r>
        <w:rPr/>
        <w:t>: Identifier for the sample being analyzed.</w:t>
      </w:r>
    </w:p>
    <w:p>
      <w:pPr>
        <w:pStyle w:val="TextBody"/>
        <w:rPr/>
      </w:pPr>
      <w:r>
        <w:rPr>
          <w:rStyle w:val="Code"/>
        </w:rPr>
        <w:t>reads</w:t>
      </w:r>
      <w:r>
        <w:rPr/>
        <w:t>: Path to paired-end sequencing read files (forward and reverse).</w:t>
      </w:r>
    </w:p>
    <w:p>
      <w:pPr>
        <w:pStyle w:val="TextBody"/>
        <w:rPr/>
      </w:pPr>
      <w:r>
        <w:rPr>
          <w:rStyle w:val="Code"/>
        </w:rPr>
        <w:t>QC_STATUS</w:t>
      </w:r>
      <w:r>
        <w:rPr/>
        <w:t>: Initial QC status from previous module (default: "tak").</w:t>
      </w:r>
    </w:p>
    <w:p>
      <w:pPr>
        <w:pStyle w:val="TextBody"/>
        <w:rPr/>
      </w:pPr>
      <w:r>
        <w:rPr>
          <w:rStyle w:val="Code"/>
        </w:rPr>
        <w:t>prefix</w:t>
      </w:r>
      <w:r>
        <w:rPr/>
        <w:t>: Prefix for output files.</w:t>
      </w:r>
    </w:p>
    <w:p>
      <w:pPr>
        <w:pStyle w:val="Info"/>
        <w:ind w:left="643" w:right="170" w:hanging="0"/>
        <w:rPr/>
      </w:pPr>
      <w:r>
        <w:rPr/>
        <w:t>The prefix field is used to identify module calls. The fastqc module is invoked twice: before and after Trimmomatic, and the quality of the reads is assessed twice. The same module is imported twice. To allow Nextflow to distinguish between them, a prefix field is added with an arbitrary label: "</w:t>
      </w:r>
      <w:r>
        <w:rPr>
          <w:rStyle w:val="Code"/>
        </w:rPr>
        <w:t>pre-filtering</w:t>
      </w:r>
      <w:r>
        <w:rPr/>
        <w:t>" or "</w:t>
      </w:r>
      <w:r>
        <w:rPr>
          <w:rStyle w:val="Code"/>
        </w:rPr>
        <w:t>post-filtering</w:t>
      </w:r>
      <w:r>
        <w:rPr/>
        <w:t>".</w:t>
      </w:r>
    </w:p>
    <w:p>
      <w:pPr>
        <w:pStyle w:val="Heading3"/>
        <w:rPr/>
      </w:pPr>
      <w:bookmarkStart w:id="59" w:name="__RefHeading___Toc870_1555702251"/>
      <w:bookmarkEnd w:id="59"/>
      <w:r>
        <w:rPr/>
        <w:t>Output</w:t>
      </w:r>
    </w:p>
    <w:p>
      <w:pPr>
        <w:pStyle w:val="TextBody"/>
        <w:rPr/>
      </w:pPr>
      <w:r>
        <w:rPr/>
        <w:t>CSV files with read quality metrics and histograms (e.g., read quality histogram, read length histogram, position-based quality plot).</w:t>
      </w:r>
    </w:p>
    <w:p>
      <w:pPr>
        <w:pStyle w:val="TextBody"/>
        <w:rPr/>
      </w:pPr>
      <w:r>
        <w:rPr/>
        <w:t>JSON files (forward_&lt;prefix&gt;.json, reverse_&lt;prefix&gt;.json) containing detailed QC results.</w:t>
      </w:r>
    </w:p>
    <w:p>
      <w:pPr>
        <w:pStyle w:val="TextBody"/>
        <w:rPr/>
      </w:pPr>
      <w:r>
        <w:rPr/>
        <w:t xml:space="preserve">Environment variable </w:t>
      </w:r>
      <w:r>
        <w:rPr>
          <w:b/>
          <w:bCs/>
        </w:rPr>
        <w:t>QC_STATUS_EXIT</w:t>
      </w:r>
      <w:r>
        <w:rPr/>
        <w:t xml:space="preserve"> indicating the overall QC status ("tak", "nie", or "blad").</w:t>
      </w:r>
    </w:p>
    <w:p>
      <w:pPr>
        <w:pStyle w:val="Info"/>
        <w:ind w:left="643" w:right="170" w:hanging="0"/>
        <w:rPr/>
      </w:pPr>
      <w:r>
        <w:rPr/>
        <w:t xml:space="preserve">The </w:t>
      </w:r>
      <w:r>
        <w:rPr>
          <w:b/>
          <w:bCs/>
        </w:rPr>
        <w:t>QC_STATUS_EXIT</w:t>
      </w:r>
      <w:r>
        <w:rPr/>
        <w:t xml:space="preserve"> field acts as a quality control flag. It is passed to each subsequent module. If an error is detected at any stage that prevents further analysis, or if data quality issues are identified, the flag is set to "error" or "no." In such cases, subsequent modules will not perform analyses but will instead pass the results obtained so far to the result-aggregating module.</w:t>
      </w:r>
    </w:p>
    <w:p>
      <w:pPr>
        <w:pStyle w:val="Heading3"/>
        <w:rPr/>
      </w:pPr>
      <w:bookmarkStart w:id="60" w:name="__RefHeading___Toc872_1555702251"/>
      <w:bookmarkEnd w:id="60"/>
      <w:r>
        <w:rPr/>
        <w:t>Description</w:t>
      </w:r>
    </w:p>
    <w:p>
      <w:pPr>
        <w:pStyle w:val="TextBody"/>
        <w:rPr/>
      </w:pPr>
      <w:r>
        <w:rPr/>
        <w:t>Ten moduł jest wrapperem dla skryptu python</w:t>
      </w:r>
    </w:p>
    <w:p>
      <w:pPr>
        <w:pStyle w:val="TextBody"/>
        <w:rPr/>
      </w:pPr>
      <w:r>
        <w:rPr>
          <w:rStyle w:val="Code"/>
        </w:rPr>
        <w:t>bin/common/run_fastqc_and_generate_json.py</w:t>
      </w:r>
      <w:r>
        <w:rPr/>
        <w:t xml:space="preserve"> uruchamianym w linijkach:</w:t>
      </w:r>
    </w:p>
    <w:p>
      <w:pPr>
        <w:pStyle w:val="Codebox"/>
        <w:ind w:left="643" w:right="0" w:hanging="0"/>
        <w:rPr/>
      </w:pPr>
      <w:r>
        <w:rPr/>
        <w:t>DANE_FORWARD=(`run_fastqc_and_generate_json.py -i ${reads[0]} -m</w:t>
      </w:r>
    </w:p>
    <w:p>
      <w:pPr>
        <w:pStyle w:val="Codebox"/>
        <w:ind w:left="643" w:right="0" w:hanging="0"/>
        <w:rPr/>
      </w:pPr>
      <w:r>
        <w:rPr/>
        <w:t>${params.memory} -c ${params.threads} -x</w:t>
      </w:r>
    </w:p>
    <w:p>
      <w:pPr>
        <w:pStyle w:val="Codebox"/>
        <w:ind w:left="643" w:right="0" w:hanging="0"/>
        <w:rPr/>
      </w:pPr>
      <w:r>
        <w:rPr/>
        <w:t>${params.min_number_of_reads} -y ${params.min_median_quality} -s</w:t>
      </w:r>
    </w:p>
    <w:p>
      <w:pPr>
        <w:pStyle w:val="Codebox"/>
        <w:ind w:left="643" w:right="0" w:hanging="0"/>
        <w:rPr/>
      </w:pPr>
      <w:r>
        <w:rPr/>
        <w:t>${QC_STATUS} -r "\${ERROR_MSG}" -e ${prefix} -p</w:t>
      </w:r>
    </w:p>
    <w:p>
      <w:pPr>
        <w:pStyle w:val="Codebox"/>
        <w:ind w:left="643" w:right="0" w:hanging="0"/>
        <w:rPr/>
      </w:pPr>
      <w:r>
        <w:rPr/>
        <w:t>"${params.results_dir}/${sampleId}/QC" -o forward_${prefix}.json`)</w:t>
      </w:r>
    </w:p>
    <w:p>
      <w:pPr>
        <w:pStyle w:val="Codebox"/>
        <w:ind w:left="643" w:right="0" w:hanging="0"/>
        <w:rPr/>
      </w:pPr>
      <w:r>
        <w:rPr/>
        <w:t>(...)</w:t>
      </w:r>
    </w:p>
    <w:p>
      <w:pPr>
        <w:pStyle w:val="Codebox"/>
        <w:ind w:left="643" w:right="0" w:hanging="0"/>
        <w:rPr/>
      </w:pPr>
      <w:r>
        <w:rPr/>
        <w:t>DANE_REVERSE=(`run_fastqc_and_generate_json.py -i ${reads[1]} -m</w:t>
      </w:r>
    </w:p>
    <w:p>
      <w:pPr>
        <w:pStyle w:val="Codebox"/>
        <w:ind w:left="643" w:right="0" w:hanging="0"/>
        <w:rPr/>
      </w:pPr>
      <w:r>
        <w:rPr/>
        <w:t>${params.memory} -c ${params.threads} -x</w:t>
      </w:r>
    </w:p>
    <w:p>
      <w:pPr>
        <w:pStyle w:val="Codebox"/>
        <w:ind w:left="643" w:right="0" w:hanging="0"/>
        <w:rPr/>
      </w:pPr>
      <w:r>
        <w:rPr/>
        <w:t>${params.min_number_of_reads} -y ${params.min_median_quality} -s</w:t>
      </w:r>
    </w:p>
    <w:p>
      <w:pPr>
        <w:pStyle w:val="Codebox"/>
        <w:ind w:left="643" w:right="0" w:hanging="0"/>
        <w:rPr/>
      </w:pPr>
      <w:r>
        <w:rPr/>
        <w:t>${QC_STATUS} -r "\${ERROR_MSG}" -e ${prefix} -p</w:t>
      </w:r>
    </w:p>
    <w:p>
      <w:pPr>
        <w:pStyle w:val="Codebox"/>
        <w:ind w:left="643" w:right="0" w:hanging="0"/>
        <w:rPr/>
      </w:pPr>
      <w:r>
        <w:rPr/>
        <w:t>"${params.results_dir}/${sampleId}/QC" -o reverse_${prefix}.json`)</w:t>
      </w:r>
    </w:p>
    <w:p>
      <w:pPr>
        <w:pStyle w:val="TextBody"/>
        <w:rPr/>
      </w:pPr>
      <w:r>
        <w:rPr/>
        <w:t xml:space="preserve">Opcje skryptu </w:t>
      </w:r>
      <w:r>
        <w:rPr>
          <w:rStyle w:val="Code"/>
        </w:rPr>
        <w:t>run_fastqc_and_generate_json.py</w:t>
      </w:r>
      <w:r>
        <w:rPr/>
        <w:t>:</w:t>
      </w:r>
    </w:p>
    <w:p>
      <w:pPr>
        <w:pStyle w:val="Codebox"/>
        <w:ind w:left="643" w:right="0" w:hanging="0"/>
        <w:rPr/>
      </w:pPr>
      <w:r>
        <w:rPr/>
        <w:t>Usage: run_fastqc_and_generate_json.py [OPTIONS]</w:t>
      </w:r>
    </w:p>
    <w:p>
      <w:pPr>
        <w:pStyle w:val="Codebox"/>
        <w:ind w:left="643" w:right="0" w:hanging="0"/>
        <w:rPr/>
      </w:pPr>
      <w:r>
        <w:rPr/>
      </w:r>
    </w:p>
    <w:p>
      <w:pPr>
        <w:pStyle w:val="Codebox"/>
        <w:ind w:left="643" w:right="0" w:hanging="0"/>
        <w:rPr/>
      </w:pPr>
      <w:r>
        <w:rPr/>
        <w:t>Options:</w:t>
      </w:r>
    </w:p>
    <w:p>
      <w:pPr>
        <w:pStyle w:val="Codebox"/>
        <w:ind w:left="643" w:right="0" w:hanging="0"/>
        <w:rPr/>
      </w:pPr>
      <w:r>
        <w:rPr/>
        <w:t>-i, --input_file PATH    [INPUT] a path to a file in fastq format</w:t>
      </w:r>
    </w:p>
    <w:p>
      <w:pPr>
        <w:pStyle w:val="Codebox"/>
        <w:ind w:left="643" w:right="0" w:hanging="0"/>
        <w:rPr/>
      </w:pPr>
      <w:r>
        <w:rPr/>
        <w:t>-m, --memory INTEGER     [INPUT] Memory available to fastqc program</w:t>
      </w:r>
    </w:p>
    <w:p>
      <w:pPr>
        <w:pStyle w:val="Codebox"/>
        <w:ind w:left="643" w:right="0" w:hanging="0"/>
        <w:rPr/>
      </w:pPr>
      <w:r>
        <w:rPr/>
        <w:t>-c, --cpu INTEGER        [INPUT] CPUs available to fastqc program</w:t>
      </w:r>
    </w:p>
    <w:p>
      <w:pPr>
        <w:pStyle w:val="Codebox"/>
        <w:ind w:left="643" w:right="0" w:hanging="0"/>
        <w:rPr/>
      </w:pPr>
      <w:r>
        <w:rPr/>
        <w:t xml:space="preserve">-x, --min_number INTEGER [INPUT] QC parameter if sample has less reads, </w:t>
      </w:r>
    </w:p>
    <w:p>
      <w:pPr>
        <w:pStyle w:val="Codebox"/>
        <w:ind w:left="643" w:right="0" w:hanging="0"/>
        <w:rPr/>
      </w:pPr>
      <w:r>
        <w:rPr/>
        <w:t xml:space="preserve">                         </w:t>
      </w:r>
      <w:r>
        <w:rPr/>
        <w:t xml:space="preserve">the json will contain blad </w:t>
      </w:r>
    </w:p>
    <w:p>
      <w:pPr>
        <w:pStyle w:val="Codebox"/>
        <w:ind w:left="643" w:right="0" w:hanging="0"/>
        <w:rPr/>
      </w:pPr>
      <w:r>
        <w:rPr/>
        <w:t>-y, --min_qual INTEGER   [INPUT] QC parameter if reads have median quality</w:t>
      </w:r>
    </w:p>
    <w:p>
      <w:pPr>
        <w:pStyle w:val="Codebox"/>
        <w:ind w:left="643" w:right="0" w:hanging="0"/>
        <w:rPr/>
      </w:pPr>
      <w:r>
        <w:rPr/>
        <w:t xml:space="preserve">                         </w:t>
      </w:r>
      <w:r>
        <w:rPr/>
        <w:t>less than this value the json will contain blad</w:t>
      </w:r>
    </w:p>
    <w:p>
      <w:pPr>
        <w:pStyle w:val="Codebox"/>
        <w:ind w:left="643" w:right="0" w:hanging="0"/>
        <w:rPr/>
      </w:pPr>
      <w:r>
        <w:rPr/>
        <w:t xml:space="preserve">-s, --status [tak|nie|blad] </w:t>
      </w:r>
    </w:p>
    <w:p>
      <w:pPr>
        <w:pStyle w:val="Codebox"/>
        <w:ind w:left="643" w:right="0" w:hanging="0"/>
        <w:rPr/>
      </w:pPr>
      <w:r>
        <w:rPr/>
        <w:t xml:space="preserve">                         </w:t>
      </w:r>
      <w:r>
        <w:rPr/>
        <w:t>[INPUT] PREDEFINED status that is transferred to</w:t>
      </w:r>
    </w:p>
    <w:p>
      <w:pPr>
        <w:pStyle w:val="Codebox"/>
        <w:ind w:left="643" w:right="0" w:hanging="0"/>
        <w:rPr/>
      </w:pPr>
      <w:r>
        <w:rPr/>
        <w:t xml:space="preserve">                                 </w:t>
      </w:r>
      <w:r>
        <w:rPr/>
        <w:t>an output json. If this status was either</w:t>
      </w:r>
    </w:p>
    <w:p>
      <w:pPr>
        <w:pStyle w:val="Codebox"/>
        <w:ind w:left="643" w:right="0" w:hanging="0"/>
        <w:rPr/>
      </w:pPr>
      <w:r>
        <w:rPr/>
        <w:t xml:space="preserve">                                 </w:t>
      </w:r>
      <w:r>
        <w:rPr/>
        <w:t>nie or blad fastqc will not run</w:t>
      </w:r>
    </w:p>
    <w:p>
      <w:pPr>
        <w:pStyle w:val="Codebox"/>
        <w:ind w:left="643" w:right="0" w:hanging="0"/>
        <w:rPr/>
      </w:pPr>
      <w:r>
        <w:rPr/>
        <w:t xml:space="preserve">                                 </w:t>
      </w:r>
      <w:r>
        <w:rPr/>
        <w:t>[required]</w:t>
      </w:r>
    </w:p>
    <w:p>
      <w:pPr>
        <w:pStyle w:val="Codebox"/>
        <w:ind w:left="643" w:right="0" w:hanging="0"/>
        <w:rPr/>
      </w:pPr>
      <w:r>
        <w:rPr/>
        <w:t xml:space="preserve">-e, --stage [pre-filtering|post-filtering] </w:t>
      </w:r>
    </w:p>
    <w:p>
      <w:pPr>
        <w:pStyle w:val="Codebox"/>
        <w:ind w:left="643" w:right="0" w:hanging="0"/>
        <w:rPr/>
      </w:pPr>
      <w:r>
        <w:rPr/>
        <w:t xml:space="preserve">                         </w:t>
      </w:r>
      <w:r>
        <w:rPr/>
        <w:t xml:space="preserve">[INPUT] Stage on which data is analyzed </w:t>
      </w:r>
    </w:p>
    <w:p>
      <w:pPr>
        <w:pStyle w:val="Codebox"/>
        <w:ind w:left="643" w:right="0" w:hanging="0"/>
        <w:rPr/>
      </w:pPr>
      <w:r>
        <w:rPr/>
        <w:t>-p, --publishdir TEXT    [INPUT] Path with fNEXTFLOW output, required to</w:t>
      </w:r>
    </w:p>
    <w:p>
      <w:pPr>
        <w:pStyle w:val="Codebox"/>
        <w:ind w:left="643" w:right="0" w:hanging="0"/>
        <w:rPr/>
      </w:pPr>
      <w:r>
        <w:rPr/>
        <w:t xml:space="preserve">                                 </w:t>
      </w:r>
      <w:r>
        <w:rPr/>
        <w:t>correctly format json [required]</w:t>
      </w:r>
    </w:p>
    <w:p>
      <w:pPr>
        <w:pStyle w:val="Codebox"/>
        <w:ind w:left="643" w:right="0" w:hanging="0"/>
        <w:rPr/>
      </w:pPr>
      <w:r>
        <w:rPr/>
        <w:t>-r, --error TEXT         [INPUT] PREDEFINED error message that is put in</w:t>
      </w:r>
    </w:p>
    <w:p>
      <w:pPr>
        <w:pStyle w:val="Codebox"/>
        <w:ind w:left="643" w:right="0" w:hanging="0"/>
        <w:rPr/>
      </w:pPr>
      <w:r>
        <w:rPr/>
        <w:t xml:space="preserve">                                 </w:t>
      </w:r>
      <w:r>
        <w:rPr/>
        <w:t>json. Only used when status was set to</w:t>
      </w:r>
    </w:p>
    <w:p>
      <w:pPr>
        <w:pStyle w:val="Codebox"/>
        <w:ind w:left="643" w:right="0" w:hanging="0"/>
        <w:rPr/>
      </w:pPr>
      <w:r>
        <w:rPr/>
        <w:t xml:space="preserve">                                 </w:t>
      </w:r>
      <w:r>
        <w:rPr/>
        <w:t>nie or blad</w:t>
      </w:r>
    </w:p>
    <w:p>
      <w:pPr>
        <w:pStyle w:val="Codebox"/>
        <w:ind w:left="643" w:right="0" w:hanging="0"/>
        <w:rPr/>
      </w:pPr>
      <w:r>
        <w:rPr/>
        <w:t xml:space="preserve">-o, --output TEXT        [Output] Name of a file with json output </w:t>
      </w:r>
    </w:p>
    <w:p>
      <w:pPr>
        <w:pStyle w:val="Codebox"/>
        <w:spacing w:before="57" w:after="57"/>
        <w:ind w:left="643" w:right="0" w:hanging="0"/>
        <w:rPr/>
      </w:pPr>
      <w:r>
        <w:rPr/>
        <w:t>--help                            Show this message and exit.</w:t>
      </w:r>
    </w:p>
    <w:p>
      <w:pPr>
        <w:pStyle w:val="TextBody"/>
        <w:rPr/>
      </w:pPr>
      <w:r>
        <w:rPr/>
      </w:r>
      <w:r>
        <w:br w:type="page"/>
      </w:r>
    </w:p>
    <w:p>
      <w:pPr>
        <w:pStyle w:val="Heading2"/>
        <w:rPr/>
      </w:pPr>
      <w:bookmarkStart w:id="61" w:name="__RefHeading___Toc2762_900569203"/>
      <w:bookmarkEnd w:id="61"/>
      <w:r>
        <w:rPr/>
        <w:t>Module filtering_multiple_segments.nf</w:t>
      </w:r>
    </w:p>
    <w:p>
      <w:pPr>
        <w:pStyle w:val="TextBody"/>
        <w:rPr>
          <w:i/>
          <w:i/>
          <w:iCs/>
        </w:rPr>
      </w:pPr>
      <w:r>
        <w:rPr/>
        <w:t>Coverage equalization for INFL.</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INFL</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INFL</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 xml:space="preserve"> </w:t>
            </w:r>
            <w:r>
              <w:rPr>
                <w:rStyle w:val="Code"/>
              </w:rPr>
              <w:t>{viral_genome_data: {primer_usage_data:[]}}</w:t>
            </w:r>
          </w:p>
        </w:tc>
      </w:tr>
    </w:tbl>
    <w:p>
      <w:pPr>
        <w:pStyle w:val="Normal"/>
        <w:rPr>
          <w:i/>
          <w:i/>
          <w:iCs/>
        </w:rPr>
      </w:pPr>
      <w:r>
        <w:rPr>
          <w:i/>
          <w:iCs/>
        </w:rPr>
      </w:r>
    </w:p>
    <w:p>
      <w:pPr>
        <w:pStyle w:val="Normal"/>
        <w:rPr>
          <w:i/>
          <w:i/>
          <w:iCs/>
        </w:rPr>
      </w:pPr>
      <w:r>
        <w:rPr/>
        <w:t xml:space="preserve"> </w:t>
      </w:r>
      <w:r>
        <w:rPr/>
        <w:t>simple_filter_illumina_INFL.py</w:t>
      </w:r>
    </w:p>
    <w:p>
      <w:pPr>
        <w:pStyle w:val="Normal"/>
        <w:rPr>
          <w:i/>
          <w:i/>
          <w:iCs/>
        </w:rPr>
      </w:pPr>
      <w:r>
        <w:rPr>
          <w:i/>
          <w:iCs/>
        </w:rPr>
      </w:r>
    </w:p>
    <w:p>
      <w:pPr>
        <w:pStyle w:val="Normal"/>
        <w:rPr>
          <w:i/>
          <w:i/>
          <w:iCs/>
        </w:rPr>
      </w:pPr>
      <w:r>
        <w:rPr/>
        <w:t>simple_filter_nanopore_INFL_ekstralayer_EQA2024.py</w:t>
      </w:r>
      <w:r>
        <w:br w:type="page"/>
      </w:r>
    </w:p>
    <w:p>
      <w:pPr>
        <w:pStyle w:val="Heading2"/>
        <w:rPr/>
      </w:pPr>
      <w:bookmarkStart w:id="62" w:name="__RefHeading___Toc2764_900569203"/>
      <w:bookmarkEnd w:id="62"/>
      <w:r>
        <w:rPr/>
        <w:t>Module filtering_one_segment.nf</w:t>
      </w:r>
    </w:p>
    <w:p>
      <w:pPr>
        <w:pStyle w:val="TextBody"/>
        <w:rPr>
          <w:i w:val="false"/>
          <w:i w:val="false"/>
          <w:iCs w:val="false"/>
        </w:rPr>
      </w:pPr>
      <w:r>
        <w:rPr>
          <w:i w:val="false"/>
          <w:iCs w:val="false"/>
        </w:rPr>
        <w:t>Coverage equalization for single segment organisms (SARS-CoV-2 and RSV)</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 xml:space="preserve"> </w:t>
            </w:r>
            <w:r>
              <w:rPr>
                <w:rStyle w:val="Code"/>
              </w:rPr>
              <w:t>{viral_genome_data: {primer_usage_data:[]}}</w:t>
            </w:r>
          </w:p>
        </w:tc>
      </w:tr>
    </w:tbl>
    <w:p>
      <w:pPr>
        <w:pStyle w:val="Normal"/>
        <w:rPr>
          <w:i/>
          <w:i/>
          <w:iCs/>
        </w:rPr>
      </w:pPr>
      <w:r>
        <w:rPr>
          <w:i/>
          <w:iCs/>
        </w:rPr>
      </w:r>
      <w:r>
        <w:br w:type="page"/>
      </w:r>
    </w:p>
    <w:p>
      <w:pPr>
        <w:pStyle w:val="Heading2"/>
        <w:rPr/>
      </w:pPr>
      <w:bookmarkStart w:id="63" w:name="__RefHeading___Toc2766_900569203"/>
      <w:bookmarkEnd w:id="63"/>
      <w:r>
        <w:rPr/>
        <w:t>Module filter_out_non_SNPs.nf</w:t>
      </w:r>
    </w:p>
    <w:p>
      <w:pPr>
        <w:pStyle w:val="TextBody"/>
        <w:rPr/>
      </w:pPr>
      <w:r>
        <w:rPr/>
        <w:t>A module that filters out mutations from a VCF file that alter the genome length while retaining those that do not change the genome length. In Nanopore sequencing, genome generation occurs in two stages. The first is a rough draft, where only mutations that do not alter the genome length are considered.</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0"/>
              </w:numPr>
              <w:ind w:left="720" w:hanging="0"/>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r>
        <w:br w:type="page"/>
      </w:r>
    </w:p>
    <w:p>
      <w:pPr>
        <w:pStyle w:val="Heading2"/>
        <w:rPr/>
      </w:pPr>
      <w:bookmarkStart w:id="64" w:name="__RefHeading___Toc2768_900569203"/>
      <w:bookmarkEnd w:id="64"/>
      <w:r>
        <w:rPr/>
        <w:t>Module freeBayes.nf</w:t>
      </w:r>
    </w:p>
    <w:p>
      <w:pPr>
        <w:pStyle w:val="TextBody"/>
        <w:rPr>
          <w:i/>
          <w:i/>
          <w:iCs/>
        </w:rPr>
      </w:pPr>
      <w:r>
        <w:rPr>
          <w:i/>
          <w:iCs/>
        </w:rPr>
        <w:t>Short description</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i/>
          <w:iCs/>
        </w:rPr>
      </w:r>
    </w:p>
    <w:p>
      <w:pPr>
        <w:pStyle w:val="Codebox"/>
        <w:rPr>
          <w:i/>
          <w:i/>
          <w:iCs/>
        </w:rPr>
      </w:pPr>
      <w:r>
        <w:rPr/>
        <w:t xml:space="preserve">    </w:t>
      </w:r>
      <w:r>
        <w:rPr/>
        <w:t>freebayes --limit-coverage ${params.max_depth} \</w:t>
      </w:r>
    </w:p>
    <w:p>
      <w:pPr>
        <w:pStyle w:val="Codebox"/>
        <w:rPr>
          <w:i/>
          <w:i/>
          <w:iCs/>
        </w:rPr>
      </w:pPr>
      <w:r>
        <w:rPr/>
        <w:t xml:space="preserve">              </w:t>
      </w:r>
      <w:r>
        <w:rPr/>
        <w:t>--min-coverage ${params.min_cov} \</w:t>
      </w:r>
    </w:p>
    <w:p>
      <w:pPr>
        <w:pStyle w:val="Codebox"/>
        <w:rPr>
          <w:i/>
          <w:i/>
          <w:iCs/>
        </w:rPr>
      </w:pPr>
      <w:r>
        <w:rPr/>
        <w:t xml:space="preserve">              </w:t>
      </w:r>
      <w:r>
        <w:rPr/>
        <w:t>--min-mapping-quality 20 \</w:t>
      </w:r>
    </w:p>
    <w:p>
      <w:pPr>
        <w:pStyle w:val="Codebox"/>
        <w:rPr>
          <w:i/>
          <w:i/>
          <w:iCs/>
        </w:rPr>
      </w:pPr>
      <w:r>
        <w:rPr/>
        <w:t xml:space="preserve">              </w:t>
      </w:r>
      <w:r>
        <w:rPr/>
        <w:t>--min-base-quality ${params.quality_snp} \</w:t>
      </w:r>
    </w:p>
    <w:p>
      <w:pPr>
        <w:pStyle w:val="Codebox"/>
        <w:rPr>
          <w:i/>
          <w:i/>
          <w:iCs/>
        </w:rPr>
      </w:pPr>
      <w:r>
        <w:rPr/>
        <w:t xml:space="preserve">              </w:t>
      </w:r>
      <w:r>
        <w:rPr/>
        <w:t>--use-mapping-quality \</w:t>
      </w:r>
    </w:p>
    <w:p>
      <w:pPr>
        <w:pStyle w:val="Codebox"/>
        <w:rPr>
          <w:i/>
          <w:i/>
          <w:iCs/>
        </w:rPr>
      </w:pPr>
      <w:r>
        <w:rPr/>
        <w:t xml:space="preserve">              </w:t>
      </w:r>
      <w:r>
        <w:rPr/>
        <w:t>--fasta-reference ${reference_fasta} \</w:t>
      </w:r>
    </w:p>
    <w:p>
      <w:pPr>
        <w:pStyle w:val="Codebox"/>
        <w:rPr>
          <w:i/>
          <w:i/>
          <w:iCs/>
        </w:rPr>
      </w:pPr>
      <w:r>
        <w:rPr/>
        <w:t xml:space="preserve">              </w:t>
      </w:r>
      <w:r>
        <w:rPr/>
        <w:t>--ploidy 1 \</w:t>
      </w:r>
    </w:p>
    <w:p>
      <w:pPr>
        <w:pStyle w:val="Codebox"/>
        <w:rPr>
          <w:i/>
          <w:i/>
          <w:iCs/>
        </w:rPr>
      </w:pPr>
      <w:r>
        <w:rPr/>
        <w:t xml:space="preserve">              </w:t>
      </w:r>
      <w:r>
        <w:rPr/>
        <w:t>${bam} &gt; detected_variants_freebayes.vcf</w:t>
      </w:r>
    </w:p>
    <w:p>
      <w:pPr>
        <w:pStyle w:val="Normal"/>
        <w:rPr>
          <w:i/>
          <w:i/>
          <w:iCs/>
        </w:rPr>
      </w:pPr>
      <w:r>
        <w:rPr>
          <w:i/>
          <w:iCs/>
        </w:rPr>
      </w:r>
    </w:p>
    <w:p>
      <w:pPr>
        <w:pStyle w:val="Normal"/>
        <w:rPr>
          <w:i/>
          <w:i/>
          <w:iCs/>
        </w:rPr>
      </w:pPr>
      <w:r>
        <w:rPr/>
        <w:t>Calling the freebayes program. The options used are:</w:t>
      </w:r>
    </w:p>
    <w:p>
      <w:pPr>
        <w:pStyle w:val="Normal"/>
        <w:rPr>
          <w:i/>
          <w:i/>
          <w:iCs/>
        </w:rPr>
      </w:pPr>
      <w:r>
        <w:rPr>
          <w:i/>
          <w:iCs/>
        </w:rPr>
      </w:r>
    </w:p>
    <w:p>
      <w:pPr>
        <w:pStyle w:val="Normal"/>
        <w:numPr>
          <w:ilvl w:val="0"/>
          <w:numId w:val="13"/>
        </w:numPr>
        <w:rPr/>
      </w:pPr>
      <w:r>
        <w:rPr>
          <w:rStyle w:val="Code"/>
        </w:rPr>
        <w:t>--limit-coverage ${max_depth}</w:t>
      </w:r>
      <w:r>
        <w:rPr/>
        <w:t xml:space="preserve"> – limit coverage at a position to this value when identifying variants. Please note that quasi-downsampling used in Step 4 for read filtering does not guarantee that a given position will not exceed the value specified in the max_depth variable.</w:t>
      </w:r>
    </w:p>
    <w:p>
      <w:pPr>
        <w:pStyle w:val="Normal"/>
        <w:numPr>
          <w:ilvl w:val="0"/>
          <w:numId w:val="13"/>
        </w:numPr>
        <w:rPr/>
      </w:pPr>
      <w:r>
        <w:rPr/>
        <w:t xml:space="preserve"> </w:t>
      </w:r>
      <w:r>
        <w:rPr>
          <w:rStyle w:val="Code"/>
        </w:rPr>
        <w:t>--min-coverage ${min_cov}</w:t>
      </w:r>
      <w:r>
        <w:rPr/>
        <w:t xml:space="preserve"> – minimum coverage for a position to be considered as a variant.</w:t>
      </w:r>
    </w:p>
    <w:p>
      <w:pPr>
        <w:pStyle w:val="Normal"/>
        <w:numPr>
          <w:ilvl w:val="0"/>
          <w:numId w:val="13"/>
        </w:numPr>
        <w:rPr/>
      </w:pPr>
      <w:r>
        <w:rPr/>
        <w:t xml:space="preserve"> </w:t>
      </w:r>
      <w:r>
        <w:rPr>
          <w:rStyle w:val="Code"/>
        </w:rPr>
        <w:t>-m 20</w:t>
      </w:r>
      <w:r>
        <w:rPr/>
        <w:t xml:space="preserve"> – alignment quality of a read for its nucleotides to be considered in variant analysis.</w:t>
      </w:r>
    </w:p>
    <w:p>
      <w:pPr>
        <w:pStyle w:val="Normal"/>
        <w:numPr>
          <w:ilvl w:val="0"/>
          <w:numId w:val="13"/>
        </w:numPr>
        <w:rPr/>
      </w:pPr>
      <w:r>
        <w:rPr/>
        <w:t xml:space="preserve"> </w:t>
      </w:r>
      <w:r>
        <w:rPr>
          <w:rStyle w:val="Code"/>
        </w:rPr>
        <w:t>-q ${quality_SNP}</w:t>
      </w:r>
      <w:r>
        <w:rPr/>
        <w:t xml:space="preserve"> – minimum nucleotide quality at a position in a read to be considered in variant counting.</w:t>
      </w:r>
    </w:p>
    <w:p>
      <w:pPr>
        <w:pStyle w:val="Normal"/>
        <w:numPr>
          <w:ilvl w:val="0"/>
          <w:numId w:val="13"/>
        </w:numPr>
        <w:rPr/>
      </w:pPr>
      <w:r>
        <w:rPr>
          <w:rStyle w:val="Code"/>
        </w:rPr>
        <w:t>-p 1</w:t>
      </w:r>
      <w:r>
        <w:rPr/>
        <w:t xml:space="preserve"> – ploidy of the analyzed organism.</w:t>
      </w:r>
    </w:p>
    <w:p>
      <w:pPr>
        <w:pStyle w:val="Normal"/>
        <w:numPr>
          <w:ilvl w:val="0"/>
          <w:numId w:val="13"/>
        </w:numPr>
        <w:rPr/>
      </w:pPr>
      <w:r>
        <w:rPr>
          <w:rStyle w:val="Code"/>
        </w:rPr>
        <w:t>-f ${input_genome}</w:t>
      </w:r>
      <w:r>
        <w:rPr/>
        <w:t xml:space="preserve"> – path to the reference genome.</w:t>
      </w:r>
    </w:p>
    <w:p>
      <w:pPr>
        <w:pStyle w:val="Normal"/>
        <w:numPr>
          <w:ilvl w:val="0"/>
          <w:numId w:val="13"/>
        </w:numPr>
        <w:rPr>
          <w:i/>
          <w:i/>
          <w:iCs/>
        </w:rPr>
      </w:pPr>
      <w:r>
        <w:rPr>
          <w:rStyle w:val="Code"/>
        </w:rPr>
        <w:t>-j</w:t>
      </w:r>
      <w:r>
        <w:rPr/>
        <w:t xml:space="preserve"> – use mapping qualities when calculating variant likelihood.</w:t>
      </w:r>
    </w:p>
    <w:p>
      <w:pPr>
        <w:pStyle w:val="Normal"/>
        <w:rPr>
          <w:i/>
          <w:i/>
          <w:iCs/>
        </w:rPr>
      </w:pPr>
      <w:r>
        <w:rPr>
          <w:i/>
          <w:iCs/>
        </w:rPr>
      </w:r>
    </w:p>
    <w:p>
      <w:pPr>
        <w:pStyle w:val="Codebox"/>
        <w:rPr/>
      </w:pPr>
      <w:r>
        <w:rPr/>
        <w:t xml:space="preserve">    </w:t>
      </w:r>
      <w:r>
        <w:rPr/>
        <w:t>cat detected_variants_freebayes.vcf | \</w:t>
      </w:r>
    </w:p>
    <w:p>
      <w:pPr>
        <w:pStyle w:val="Codebox"/>
        <w:rPr/>
      </w:pPr>
      <w:r>
        <w:rPr/>
        <w:t xml:space="preserve">        </w:t>
      </w:r>
      <w:r>
        <w:rPr/>
        <w:t>bcftools norm --check-ref w \</w:t>
      </w:r>
    </w:p>
    <w:p>
      <w:pPr>
        <w:pStyle w:val="Codebox"/>
        <w:rPr/>
      </w:pPr>
      <w:r>
        <w:rPr/>
        <w:t xml:space="preserve">                      </w:t>
      </w:r>
      <w:r>
        <w:rPr/>
        <w:t>--rm-dup all \</w:t>
      </w:r>
    </w:p>
    <w:p>
      <w:pPr>
        <w:pStyle w:val="Codebox"/>
        <w:rPr/>
      </w:pPr>
      <w:r>
        <w:rPr/>
        <w:t xml:space="preserve">                      </w:t>
      </w:r>
      <w:r>
        <w:rPr/>
        <w:t>--fasta-ref ${reference_fasta} | \</w:t>
      </w:r>
    </w:p>
    <w:p>
      <w:pPr>
        <w:pStyle w:val="Codebox"/>
        <w:rPr/>
      </w:pPr>
      <w:r>
        <w:rPr/>
        <w:t xml:space="preserve">                          </w:t>
      </w:r>
      <w:r>
        <w:rPr/>
        <w:t>bcftools norm --check-ref w \</w:t>
      </w:r>
    </w:p>
    <w:p>
      <w:pPr>
        <w:pStyle w:val="Codebox"/>
        <w:rPr/>
      </w:pPr>
      <w:r>
        <w:rPr/>
        <w:t xml:space="preserve">                                        </w:t>
      </w:r>
      <w:r>
        <w:rPr/>
        <w:t>--multiallelics -indels \</w:t>
      </w:r>
    </w:p>
    <w:p>
      <w:pPr>
        <w:pStyle w:val="Codebox"/>
        <w:rPr/>
      </w:pPr>
      <w:r>
        <w:rPr/>
        <w:t xml:space="preserve">                                        </w:t>
      </w:r>
      <w:r>
        <w:rPr/>
        <w:t>--fasta-ref ${reference_fasta} &gt; detected_variants_freebayes_fix.vcf</w:t>
      </w:r>
    </w:p>
    <w:p>
      <w:pPr>
        <w:pStyle w:val="Normal"/>
        <w:rPr>
          <w:i/>
          <w:i/>
          <w:iCs/>
        </w:rPr>
      </w:pPr>
      <w:r>
        <w:rPr>
          <w:i/>
          <w:iCs/>
        </w:rPr>
      </w:r>
    </w:p>
    <w:p>
      <w:pPr>
        <w:pStyle w:val="Normal"/>
        <w:rPr>
          <w:i/>
          <w:i/>
          <w:iCs/>
        </w:rPr>
      </w:pPr>
      <w:r>
        <w:rPr/>
        <w:t xml:space="preserve">Normalization of the VCF file similar to </w:t>
      </w:r>
      <w:r>
        <w:rPr/>
        <w:fldChar w:fldCharType="begin"/>
      </w:r>
      <w:r>
        <w:rPr/>
        <w:instrText xml:space="preserve"> REF __RefHeading___Toc2826_900569203 \h </w:instrText>
      </w:r>
      <w:r>
        <w:rPr/>
        <w:fldChar w:fldCharType="separate"/>
      </w:r>
      <w:r>
        <w:rPr/>
        <w:t>Module varscan.nf</w:t>
      </w:r>
      <w:r>
        <w:rPr/>
        <w:fldChar w:fldCharType="end"/>
      </w:r>
      <w:r>
        <w:rPr/>
        <w:t>.</w:t>
      </w:r>
    </w:p>
    <w:p>
      <w:pPr>
        <w:pStyle w:val="Normal"/>
        <w:rPr>
          <w:i/>
          <w:i/>
          <w:iCs/>
        </w:rPr>
      </w:pPr>
      <w:r>
        <w:rPr>
          <w:i/>
          <w:iCs/>
        </w:rPr>
      </w:r>
    </w:p>
    <w:p>
      <w:pPr>
        <w:pStyle w:val="Codebox"/>
        <w:rPr/>
      </w:pPr>
      <w:r>
        <w:rPr/>
        <w:t xml:space="preserve">    </w:t>
      </w:r>
      <w:r>
        <w:rPr/>
        <w:t>bcftools filter --include "QUAL &gt;= \${qual} &amp; INFO/DP &gt;= ${params.min_cov} &amp; (SAF  + SAR)/(SRF + SRR + SAF + SAR) &gt; ${params.upper_ambig} " \</w:t>
      </w:r>
    </w:p>
    <w:p>
      <w:pPr>
        <w:pStyle w:val="Codebox"/>
        <w:rPr/>
      </w:pPr>
      <w:r>
        <w:rPr/>
        <w:t xml:space="preserve">             </w:t>
      </w:r>
      <w:r>
        <w:rPr/>
        <w:t>detected_variants_freebayes_fix.vcf &gt; detected_variants_freebayes_fix_high.vcf</w:t>
      </w:r>
    </w:p>
    <w:p>
      <w:pPr>
        <w:pStyle w:val="Normal"/>
        <w:rPr>
          <w:i/>
          <w:i/>
          <w:iCs/>
        </w:rPr>
      </w:pPr>
      <w:r>
        <w:rPr/>
        <w:t xml:space="preserve">   </w:t>
      </w:r>
    </w:p>
    <w:p>
      <w:pPr>
        <w:pStyle w:val="Normal"/>
        <w:rPr>
          <w:i/>
          <w:i/>
          <w:iCs/>
        </w:rPr>
      </w:pPr>
      <w:r>
        <w:rPr/>
        <w:t xml:space="preserve">Freebayes cannot identify ambiguous positions, and at the position corresponding to the alternative allele in the VCF file, it always introduces a symbol: </w:t>
      </w:r>
      <w:r>
        <w:rPr>
          <w:rStyle w:val="Code"/>
        </w:rPr>
        <w:t>A</w:t>
      </w:r>
      <w:r>
        <w:rPr/>
        <w:t xml:space="preserve">, </w:t>
      </w:r>
      <w:r>
        <w:rPr>
          <w:rStyle w:val="Code"/>
        </w:rPr>
        <w:t>T</w:t>
      </w:r>
      <w:r>
        <w:rPr/>
        <w:t xml:space="preserve">, </w:t>
      </w:r>
      <w:r>
        <w:rPr>
          <w:rStyle w:val="Code"/>
        </w:rPr>
        <w:t>G</w:t>
      </w:r>
      <w:r>
        <w:rPr/>
        <w:t xml:space="preserve">, or </w:t>
      </w:r>
      <w:r>
        <w:rPr>
          <w:rStyle w:val="Code"/>
        </w:rPr>
        <w:t>C</w:t>
      </w:r>
      <w:r>
        <w:rPr/>
        <w:t xml:space="preserve">. Introducing the allele ambiguous symbol at such a position must be done manually. In the first step, we save to the </w:t>
      </w:r>
      <w:r>
        <w:rPr>
          <w:rStyle w:val="Path"/>
        </w:rPr>
        <w:t>detected_variants_freebayes_fix_high.vcf</w:t>
      </w:r>
      <w:r>
        <w:rPr/>
        <w:t xml:space="preserve"> file all mutations in which the frequency of using the alternative allele exceeds the value provided in the </w:t>
      </w:r>
      <w:r>
        <w:rPr>
          <w:rStyle w:val="Code"/>
        </w:rPr>
        <w:t>${upper_ambig}</w:t>
      </w:r>
      <w:r>
        <w:rPr/>
        <w:t xml:space="preserve"> variable and whose quality is greater than 15 (meaning p-value is less than 0.03).</w:t>
      </w:r>
    </w:p>
    <w:p>
      <w:pPr>
        <w:pStyle w:val="Normal"/>
        <w:rPr>
          <w:i/>
          <w:i/>
          <w:iCs/>
        </w:rPr>
      </w:pPr>
      <w:r>
        <w:rPr>
          <w:i/>
          <w:iCs/>
        </w:rPr>
      </w:r>
    </w:p>
    <w:p>
      <w:pPr>
        <w:pStyle w:val="Codebox"/>
        <w:rPr>
          <w:i/>
          <w:i/>
          <w:iCs/>
        </w:rPr>
      </w:pPr>
      <w:r>
        <w:rPr/>
        <w:t xml:space="preserve">    </w:t>
      </w:r>
      <w:r>
        <w:rPr/>
        <w:t>bcftools filter --include "QUAL &gt;= \${qual} &amp; INFO/DP &gt;=  ${params.min_cov}  &amp; (SAF  + SAR)/(SRF + SRR + SAF + SAR) &gt;= ${params.lower_ambig}  &amp; (SAF  + SAR)/(SRF + SRR + SAF + SAR) &lt;= ${params.upper_ambig} " \</w:t>
      </w:r>
    </w:p>
    <w:p>
      <w:pPr>
        <w:pStyle w:val="Codebox"/>
        <w:rPr>
          <w:i/>
          <w:i/>
          <w:iCs/>
        </w:rPr>
      </w:pPr>
      <w:r>
        <w:rPr/>
        <w:t xml:space="preserve">             </w:t>
      </w:r>
      <w:r>
        <w:rPr/>
        <w:t>detected_variants_freebayes_fix.vcf &gt; tmp_low.vcf</w:t>
      </w:r>
    </w:p>
    <w:p>
      <w:pPr>
        <w:pStyle w:val="Codebox"/>
        <w:rPr>
          <w:i/>
          <w:i/>
          <w:iCs/>
        </w:rPr>
      </w:pPr>
      <w:r>
        <w:rPr/>
        <w:t xml:space="preserve">    </w:t>
      </w:r>
      <w:r>
        <w:rPr/>
        <w:t>introduce_amb_2_vcf.py tmp_low.vcf \</w:t>
      </w:r>
    </w:p>
    <w:p>
      <w:pPr>
        <w:pStyle w:val="Codebox"/>
        <w:rPr>
          <w:i/>
          <w:i/>
          <w:iCs/>
        </w:rPr>
      </w:pPr>
      <w:r>
        <w:rPr/>
        <w:t xml:space="preserve">           </w:t>
      </w:r>
      <w:r>
        <w:rPr/>
        <w:t>detected_variants_freebayes_fix_ambig.vcf</w:t>
      </w:r>
    </w:p>
    <w:p>
      <w:pPr>
        <w:pStyle w:val="Normal"/>
        <w:rPr>
          <w:i/>
          <w:i/>
          <w:iCs/>
        </w:rPr>
      </w:pPr>
      <w:r>
        <w:rPr>
          <w:i/>
          <w:iCs/>
        </w:rPr>
      </w:r>
    </w:p>
    <w:p>
      <w:pPr>
        <w:pStyle w:val="Normal"/>
        <w:rPr>
          <w:i/>
          <w:i/>
          <w:iCs/>
        </w:rPr>
      </w:pPr>
      <w:r>
        <w:rPr/>
        <w:t>Next, we extract mutations with allele alternative frequency between the values specified in the variables `$lower_ambig` and `$upper_ambig`. For these positions, we apply a simple Python script where instead of introducing the alt allele symbol, we introduce the ambiguous nucleotide symbol.</w:t>
      </w:r>
    </w:p>
    <w:p>
      <w:pPr>
        <w:pStyle w:val="Normal"/>
        <w:rPr>
          <w:i/>
          <w:i/>
          <w:iCs/>
        </w:rPr>
      </w:pPr>
      <w:r>
        <w:rPr>
          <w:i/>
          <w:iCs/>
        </w:rPr>
      </w:r>
    </w:p>
    <w:p>
      <w:pPr>
        <w:pStyle w:val="Codebox"/>
        <w:rPr/>
      </w:pPr>
      <w:r>
        <w:rPr/>
        <w:t xml:space="preserve">    </w:t>
      </w:r>
      <w:r>
        <w:rPr/>
        <w:t>bcftools concat detected_variants_freebayes_fix_high.vcf.gz \</w:t>
      </w:r>
    </w:p>
    <w:p>
      <w:pPr>
        <w:pStyle w:val="Codebox"/>
        <w:rPr/>
      </w:pPr>
      <w:r>
        <w:rPr/>
        <w:t xml:space="preserve">                    </w:t>
      </w:r>
      <w:r>
        <w:rPr/>
        <w:t>detected_variants_freebayes_fix_ambig.vcf.gz | \</w:t>
      </w:r>
    </w:p>
    <w:p>
      <w:pPr>
        <w:pStyle w:val="Codebox"/>
        <w:rPr/>
      </w:pPr>
      <w:r>
        <w:rPr/>
        <w:t xml:space="preserve">                        </w:t>
      </w:r>
      <w:r>
        <w:rPr/>
        <w:t>bcftools sort --output-type z &gt; detected_variants_freebayes_final.vcf.gz</w:t>
      </w:r>
      <w:r>
        <w:br w:type="page"/>
      </w:r>
    </w:p>
    <w:p>
      <w:pPr>
        <w:pStyle w:val="Heading2"/>
        <w:rPr/>
      </w:pPr>
      <w:bookmarkStart w:id="65" w:name="__RefHeading___Toc2770_900569203"/>
      <w:bookmarkEnd w:id="65"/>
      <w:r>
        <w:rPr/>
        <w:t>Module freyja.nf</w:t>
      </w:r>
    </w:p>
    <w:p>
      <w:pPr>
        <w:pStyle w:val="Normal"/>
        <w:rPr>
          <w:i/>
          <w:i/>
          <w:iCs/>
        </w:rPr>
      </w:pPr>
      <w:r>
        <w:rPr/>
        <w:t>Freyja is an alternative tool to detect coinfections in SARS-CoV-2 samples.</w:t>
      </w:r>
    </w:p>
    <w:p>
      <w:pPr>
        <w:pStyle w:val="Normal"/>
        <w:rPr>
          <w:i/>
          <w:i/>
          <w:iCs/>
        </w:rPr>
      </w:pPr>
      <w:r>
        <w:rPr>
          <w:i/>
          <w:iCs/>
        </w:rPr>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rFonts w:ascii="DejaVu Sans Mono" w:hAnsi="DejaVu Sans Mono"/>
              </w:rPr>
            </w:pPr>
            <w:r>
              <w:rPr>
                <w:rFonts w:ascii="DejaVu Sans Mono" w:hAnsi="DejaVu Sans Mono"/>
              </w:rPr>
              <w:t xml:space="preserve"> </w:t>
            </w:r>
            <w:r>
              <w:rPr>
                <w:rStyle w:val="Code"/>
                <w:rFonts w:ascii="DejaVu Sans Mono" w:hAnsi="DejaVu Sans Mono"/>
              </w:rPr>
              <w:t>"sars_data": {}</w:t>
            </w:r>
          </w:p>
        </w:tc>
      </w:tr>
    </w:tbl>
    <w:p>
      <w:pPr>
        <w:pStyle w:val="Normal"/>
        <w:rPr>
          <w:i/>
          <w:i/>
          <w:iCs/>
        </w:rPr>
      </w:pPr>
      <w:r>
        <w:rPr>
          <w:i/>
          <w:iCs/>
        </w:rPr>
      </w:r>
    </w:p>
    <w:p>
      <w:pPr>
        <w:pStyle w:val="Codebox"/>
        <w:rPr>
          <w:i/>
          <w:i/>
          <w:iCs/>
        </w:rPr>
      </w:pPr>
      <w:r>
        <w:rPr/>
        <w:t>mkdir variants_files depth_files demix_files</w:t>
      </w:r>
    </w:p>
    <w:p>
      <w:pPr>
        <w:pStyle w:val="Codebox"/>
        <w:rPr>
          <w:i/>
          <w:i/>
          <w:iCs/>
        </w:rPr>
      </w:pPr>
      <w:r>
        <w:rPr/>
        <w:t>freyja variants mapped_reads.bam --variants variants_files/test.variants.tsv --depths depth_files/test.depth --ref ${reference_fasta}</w:t>
      </w:r>
    </w:p>
    <w:p>
      <w:pPr>
        <w:pStyle w:val="Codebox"/>
        <w:rPr>
          <w:i/>
          <w:i/>
          <w:iCs/>
        </w:rPr>
      </w:pPr>
      <w:r>
        <w:rPr/>
        <w:t>freyja demix variants_files/test.variants.tsv depth_files/test.depth --output demix_files/test.output --confirmedonly --barcodes  /home/external_databases/freyja/usher_barcodes.csv</w:t>
      </w:r>
    </w:p>
    <w:p>
      <w:pPr>
        <w:pStyle w:val="Codebox"/>
        <w:rPr>
          <w:i/>
          <w:i/>
          <w:iCs/>
        </w:rPr>
      </w:pPr>
      <w:r>
        <w:rPr/>
        <w:t>freyja aggregate demix_files/ --output coinfections.tsv</w:t>
      </w:r>
    </w:p>
    <w:p>
      <w:pPr>
        <w:pStyle w:val="Normal"/>
        <w:rPr>
          <w:i/>
          <w:i/>
          <w:iCs/>
        </w:rPr>
      </w:pPr>
      <w:r>
        <w:rPr>
          <w:i/>
          <w:iCs/>
        </w:rPr>
      </w:r>
    </w:p>
    <w:p>
      <w:pPr>
        <w:pStyle w:val="Normal"/>
        <w:rPr>
          <w:i/>
          <w:i/>
          <w:iCs/>
        </w:rPr>
      </w:pPr>
      <w:r>
        <w:rPr>
          <w:i/>
          <w:iCs/>
        </w:rPr>
        <w:t>The method uses lineage-determining mutational “barcodes” derived from the UShER global phylogenetic tree as a basis set to solve the constrained (unit sum, non-negative) de-mixing problem.</w:t>
      </w:r>
    </w:p>
    <w:p>
      <w:pPr>
        <w:pStyle w:val="Normal"/>
        <w:rPr>
          <w:i/>
          <w:i/>
          <w:iCs/>
        </w:rPr>
      </w:pPr>
      <w:r>
        <w:rPr>
          <w:i/>
          <w:iCs/>
        </w:rPr>
      </w:r>
    </w:p>
    <w:p>
      <w:pPr>
        <w:pStyle w:val="Normal"/>
        <w:rPr>
          <w:i/>
          <w:i/>
          <w:iCs/>
        </w:rPr>
      </w:pPr>
      <w:r>
        <w:rPr/>
        <w:t xml:space="preserve">Documentation - </w:t>
      </w:r>
      <w:hyperlink r:id="rId29">
        <w:r>
          <w:rPr>
            <w:rStyle w:val="InternetLink"/>
          </w:rPr>
          <w:t>https://andersen-lab.github.io/Freyja/index.html</w:t>
        </w:r>
      </w:hyperlink>
      <w:r>
        <w:br w:type="page"/>
      </w:r>
    </w:p>
    <w:p>
      <w:pPr>
        <w:pStyle w:val="Heading2"/>
        <w:rPr/>
      </w:pPr>
      <w:bookmarkStart w:id="66" w:name="__RefHeading___Toc2772_900569203"/>
      <w:bookmarkEnd w:id="66"/>
      <w:r>
        <w:rPr/>
        <w:t>Module indelQual.nf</w:t>
      </w:r>
    </w:p>
    <w:p>
      <w:pPr>
        <w:pStyle w:val="TextBody"/>
        <w:rPr>
          <w:i/>
          <w:i/>
          <w:iCs/>
        </w:rPr>
      </w:pPr>
      <w:r>
        <w:rPr/>
        <w:t>Improves mapping scores in a BAM file around indels using the Viterbi algorithm.</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i/>
          <w:iCs/>
        </w:rPr>
      </w:r>
    </w:p>
    <w:p>
      <w:pPr>
        <w:pStyle w:val="Codebox"/>
        <w:rPr/>
      </w:pPr>
      <w:r>
        <w:rPr/>
        <w:t xml:space="preserve">    </w:t>
      </w:r>
      <w:r>
        <w:rPr/>
        <w:t>lofreq indelqual --ref ${reference_fasta} \</w:t>
      </w:r>
    </w:p>
    <w:p>
      <w:pPr>
        <w:pStyle w:val="Codebox"/>
        <w:rPr/>
      </w:pPr>
      <w:r>
        <w:rPr/>
        <w:t xml:space="preserve">                     </w:t>
      </w:r>
      <w:r>
        <w:rPr/>
        <w:t>--out forvariants.bam \</w:t>
      </w:r>
    </w:p>
    <w:p>
      <w:pPr>
        <w:pStyle w:val="Codebox"/>
        <w:rPr/>
      </w:pPr>
      <w:r>
        <w:rPr/>
        <w:t xml:space="preserve">                     </w:t>
      </w:r>
      <w:r>
        <w:rPr/>
        <w:t>--dindel clean_sort_dedup_trimmed_sort_viterbi.bam</w:t>
      </w:r>
    </w:p>
    <w:p>
      <w:pPr>
        <w:pStyle w:val="Codebox"/>
        <w:rPr/>
      </w:pPr>
      <w:r>
        <w:rPr/>
        <w:t xml:space="preserve">    </w:t>
      </w:r>
      <w:r>
        <w:rPr/>
        <w:t>samtools sort -@ ${params.threads} \</w:t>
      </w:r>
    </w:p>
    <w:p>
      <w:pPr>
        <w:pStyle w:val="Codebox"/>
        <w:rPr/>
      </w:pPr>
      <w:r>
        <w:rPr/>
        <w:t xml:space="preserve">                  </w:t>
      </w:r>
      <w:r>
        <w:rPr/>
        <w:t>-o forvariants.bam \</w:t>
      </w:r>
    </w:p>
    <w:p>
      <w:pPr>
        <w:pStyle w:val="Codebox"/>
        <w:rPr/>
      </w:pPr>
      <w:r>
        <w:rPr/>
        <w:t xml:space="preserve">                  </w:t>
      </w:r>
      <w:r>
        <w:rPr/>
        <w:t>forvariants.bam</w:t>
      </w:r>
    </w:p>
    <w:p>
      <w:pPr>
        <w:pStyle w:val="Codebox"/>
        <w:rPr/>
      </w:pPr>
      <w:r>
        <w:rPr/>
        <w:t xml:space="preserve">    </w:t>
      </w:r>
      <w:r>
        <w:rPr/>
        <w:t>samtools index forvariants.bam</w:t>
      </w:r>
    </w:p>
    <w:p>
      <w:pPr>
        <w:pStyle w:val="Normal"/>
        <w:rPr>
          <w:i/>
          <w:i/>
          <w:iCs/>
        </w:rPr>
      </w:pPr>
      <w:r>
        <w:rPr>
          <w:i/>
          <w:iCs/>
        </w:rPr>
      </w:r>
    </w:p>
    <w:p>
      <w:pPr>
        <w:pStyle w:val="Normal"/>
        <w:rPr>
          <w:i/>
          <w:i/>
          <w:iCs/>
        </w:rPr>
      </w:pPr>
      <w:r>
        <w:rPr/>
        <w:t>This fragment is part of the procedure recommended for identifying reads using the Lofreq program following GATK recommendations. Reads are realigned and a quality score is introduced for indel quality, enabling their identification by the Lofreq program. The above procedure does not affect the results of Varscan or Freebayes.</w:t>
      </w:r>
      <w:r>
        <w:br w:type="page"/>
      </w:r>
    </w:p>
    <w:p>
      <w:pPr>
        <w:pStyle w:val="Heading2"/>
        <w:rPr/>
      </w:pPr>
      <w:bookmarkStart w:id="67" w:name="__RefHeading___Toc2774_900569203"/>
      <w:bookmarkEnd w:id="67"/>
      <w:r>
        <w:rPr/>
        <w:t>Module integrate_medaka_and_varscan.nf</w:t>
      </w:r>
    </w:p>
    <w:p>
      <w:pPr>
        <w:pStyle w:val="TextBody"/>
        <w:rPr>
          <w:i w:val="false"/>
          <w:i w:val="false"/>
          <w:iCs w:val="false"/>
        </w:rPr>
      </w:pPr>
      <w:r>
        <w:rPr>
          <w:i w:val="false"/>
          <w:iCs w:val="false"/>
        </w:rPr>
        <w:t>This module integrates medaka vcf and SPECIFIC parts of varscan prediction i.e. SNPs with over 80% usage (according to varscan) that are not predicted as valid SNPs according to medaka due to complex underlying genotype of a region</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val="false"/>
          <w:i w:val="false"/>
          <w:iCs w:val="false"/>
        </w:rPr>
      </w:pPr>
      <w:r>
        <w:rPr>
          <w:i w:val="false"/>
          <w:iCs w:val="false"/>
        </w:rPr>
        <w:t>Operates in two rounds - first for rough draft, and then for final genome.</w:t>
      </w:r>
      <w:r>
        <w:br w:type="page"/>
      </w:r>
    </w:p>
    <w:p>
      <w:pPr>
        <w:pStyle w:val="Heading2"/>
        <w:rPr/>
      </w:pPr>
      <w:bookmarkStart w:id="68" w:name="__RefHeading___Toc2776_900569203"/>
      <w:bookmarkEnd w:id="68"/>
      <w:r>
        <w:rPr/>
        <w:t>Module json_aggregator.nf</w:t>
      </w:r>
    </w:p>
    <w:p>
      <w:pPr>
        <w:pStyle w:val="TextBody"/>
        <w:rPr>
          <w:i w:val="false"/>
          <w:i w:val="false"/>
          <w:iCs w:val="false"/>
        </w:rPr>
      </w:pPr>
      <w:r>
        <w:rPr>
          <w:i w:val="false"/>
          <w:iCs w:val="false"/>
        </w:rPr>
        <w:t>Main module aggregating partial JSON files into a final output file.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0"/>
              </w:numPr>
              <w:ind w:left="720" w:hanging="0"/>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14"/>
              </w:numPr>
              <w:rPr/>
            </w:pPr>
            <w:r>
              <w:rPr/>
              <w:t xml:space="preserve"> </w:t>
            </w:r>
            <w:r>
              <w:rPr>
                <w:rStyle w:val="Code"/>
                <w:rFonts w:ascii="DejaVu Sans Mono" w:hAnsi="DejaVu Sans Mono"/>
              </w:rPr>
              <w:t>"timestamp": str</w:t>
            </w:r>
          </w:p>
          <w:p>
            <w:pPr>
              <w:pStyle w:val="TableContents"/>
              <w:widowControl w:val="false"/>
              <w:numPr>
                <w:ilvl w:val="0"/>
                <w:numId w:val="14"/>
              </w:numPr>
              <w:rPr/>
            </w:pPr>
            <w:r>
              <w:rPr/>
              <w:t xml:space="preserve"> </w:t>
            </w:r>
            <w:r>
              <w:rPr>
                <w:rStyle w:val="Code"/>
              </w:rPr>
              <w:t>"output": {}</w:t>
            </w:r>
            <w:r>
              <w:rPr/>
              <w:t xml:space="preserve"> - main output file</w:t>
            </w:r>
          </w:p>
        </w:tc>
      </w:tr>
    </w:tbl>
    <w:p>
      <w:pPr>
        <w:pStyle w:val="Normal"/>
        <w:rPr>
          <w:i/>
          <w:i/>
          <w:iCs/>
        </w:rPr>
      </w:pPr>
      <w:r>
        <w:rPr>
          <w:i/>
          <w:iCs/>
        </w:rPr>
      </w:r>
    </w:p>
    <w:p>
      <w:pPr>
        <w:pStyle w:val="Normal"/>
        <w:rPr>
          <w:i/>
          <w:i/>
          <w:iCs/>
        </w:rPr>
      </w:pPr>
      <w:r>
        <w:rPr/>
        <w:t>It contain six submodules one-per each pipeline. Apart from aggregating partial results, it also fills in several metadata fields.</w:t>
      </w:r>
      <w:r>
        <w:br w:type="page"/>
      </w:r>
    </w:p>
    <w:p>
      <w:pPr>
        <w:pStyle w:val="Heading2"/>
        <w:rPr/>
      </w:pPr>
      <w:bookmarkStart w:id="69" w:name="__RefHeading___Toc2778_900569203"/>
      <w:bookmarkEnd w:id="69"/>
      <w:r>
        <w:rPr/>
        <w:t>Module kraken2.nf</w:t>
      </w:r>
    </w:p>
    <w:p>
      <w:pPr>
        <w:pStyle w:val="TextBody"/>
        <w:rPr/>
      </w:pPr>
      <w:r>
        <w:rPr/>
        <w:t>The kraken2 module combines Kraken2 with a species identification process for Illumina reads. It evaluates contamination and updates the QC status based on the presence of reads from the expected genus.</w:t>
      </w:r>
    </w:p>
    <w:tbl>
      <w:tblPr>
        <w:tblW w:w="9643" w:type="dxa"/>
        <w:jc w:val="left"/>
        <w:tblInd w:w="28" w:type="dxa"/>
        <w:tblLayout w:type="fixed"/>
        <w:tblCellMar>
          <w:top w:w="28" w:type="dxa"/>
          <w:left w:w="28" w:type="dxa"/>
          <w:bottom w:w="0" w:type="dxa"/>
          <w:right w:w="28" w:type="dxa"/>
        </w:tblCellMar>
      </w:tblPr>
      <w:tblGrid>
        <w:gridCol w:w="1023"/>
        <w:gridCol w:w="559"/>
        <w:gridCol w:w="911"/>
        <w:gridCol w:w="2964"/>
        <w:gridCol w:w="4185"/>
      </w:tblGrid>
      <w:tr>
        <w:trPr/>
        <w:tc>
          <w:tcPr>
            <w:tcW w:w="102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34"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18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23"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34"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18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23"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59"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149"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criterium 1</w:t>
            </w:r>
          </w:p>
          <w:p>
            <w:pPr>
              <w:pStyle w:val="TableContents"/>
              <w:widowControl w:val="false"/>
              <w:numPr>
                <w:ilvl w:val="0"/>
                <w:numId w:val="9"/>
              </w:numPr>
              <w:jc w:val="left"/>
              <w:rPr/>
            </w:pPr>
            <w:r>
              <w:rPr/>
              <w:t>criterium 2</w:t>
            </w:r>
          </w:p>
          <w:p>
            <w:pPr>
              <w:pStyle w:val="TableContents"/>
              <w:widowControl w:val="false"/>
              <w:numPr>
                <w:ilvl w:val="0"/>
                <w:numId w:val="9"/>
              </w:numPr>
              <w:jc w:val="left"/>
              <w:rPr/>
            </w:pPr>
            <w:r>
              <w:rPr/>
              <w:t>criterium 3</w:t>
            </w:r>
          </w:p>
        </w:tc>
      </w:tr>
      <w:tr>
        <w:trPr/>
        <w:tc>
          <w:tcPr>
            <w:tcW w:w="1023"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59"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149"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t>{"output": "sequencing_summary_data": [...]}</w:t>
            </w:r>
          </w:p>
        </w:tc>
      </w:tr>
    </w:tbl>
    <w:p>
      <w:pPr>
        <w:pStyle w:val="Normal"/>
        <w:rPr/>
      </w:pPr>
      <w:r>
        <w:rPr/>
      </w:r>
    </w:p>
    <w:p>
      <w:pPr>
        <w:pStyle w:val="TextBody"/>
        <w:rPr/>
      </w:pPr>
      <w:r>
        <w:rPr>
          <w:rStyle w:val="Path"/>
        </w:rPr>
        <w:t>kraken2.nf</w:t>
      </w:r>
      <w:r>
        <w:rPr/>
        <w:t xml:space="preserve"> file contain two modules:  </w:t>
      </w:r>
      <w:r>
        <w:rPr>
          <w:rStyle w:val="Code"/>
        </w:rPr>
        <w:t>kraken2_illumina</w:t>
      </w:r>
      <w:r>
        <w:rPr/>
        <w:t xml:space="preserve"> and </w:t>
      </w:r>
      <w:r>
        <w:rPr>
          <w:rStyle w:val="Code"/>
        </w:rPr>
        <w:t>kraken2_nanopore</w:t>
      </w:r>
      <w:r>
        <w:rPr/>
        <w:t xml:space="preserve"> modules. They vary with inputs. </w:t>
      </w:r>
    </w:p>
    <w:p>
      <w:pPr>
        <w:pStyle w:val="Heading3"/>
        <w:rPr/>
      </w:pPr>
      <w:bookmarkStart w:id="70" w:name="__RefHeading___Toc2780_900569203"/>
      <w:bookmarkEnd w:id="70"/>
      <w:r>
        <w:rPr/>
        <w:t>Input</w:t>
      </w:r>
    </w:p>
    <w:p>
      <w:pPr>
        <w:pStyle w:val="TextBody"/>
        <w:numPr>
          <w:ilvl w:val="0"/>
          <w:numId w:val="7"/>
        </w:numPr>
        <w:rPr/>
      </w:pPr>
      <w:r>
        <w:rPr>
          <w:rStyle w:val="Code"/>
        </w:rPr>
        <w:t>sampleId</w:t>
      </w:r>
      <w:r>
        <w:rPr/>
        <w:t>: Sample identifier.</w:t>
      </w:r>
    </w:p>
    <w:p>
      <w:pPr>
        <w:pStyle w:val="TextBody"/>
        <w:numPr>
          <w:ilvl w:val="0"/>
          <w:numId w:val="7"/>
        </w:numPr>
        <w:rPr/>
      </w:pPr>
      <w:r>
        <w:rPr>
          <w:rStyle w:val="Code"/>
        </w:rPr>
        <w:t>reads</w:t>
      </w:r>
      <w:r>
        <w:rPr/>
        <w:t>: Path to paired-end sequencing read files.</w:t>
      </w:r>
    </w:p>
    <w:p>
      <w:pPr>
        <w:pStyle w:val="TextBody"/>
        <w:numPr>
          <w:ilvl w:val="0"/>
          <w:numId w:val="7"/>
        </w:numPr>
        <w:rPr/>
      </w:pPr>
      <w:r>
        <w:rPr>
          <w:rStyle w:val="Code"/>
        </w:rPr>
        <w:t>QC_STATUS</w:t>
      </w:r>
      <w:r>
        <w:rPr/>
        <w:t>: QC status from the upstream module.</w:t>
      </w:r>
    </w:p>
    <w:p>
      <w:pPr>
        <w:pStyle w:val="TextBody"/>
        <w:numPr>
          <w:ilvl w:val="0"/>
          <w:numId w:val="7"/>
        </w:numPr>
        <w:rPr/>
      </w:pPr>
      <w:r>
        <w:rPr>
          <w:rStyle w:val="Code"/>
        </w:rPr>
        <w:t>EXPECTED_GENUS</w:t>
      </w:r>
      <w:r>
        <w:rPr/>
        <w:t>: Expected genus for the sample.</w:t>
      </w:r>
    </w:p>
    <w:p>
      <w:pPr>
        <w:pStyle w:val="Heading3"/>
        <w:rPr/>
      </w:pPr>
      <w:bookmarkStart w:id="71" w:name="__RefHeading___Toc2782_900569203"/>
      <w:bookmarkEnd w:id="71"/>
      <w:r>
        <w:rPr/>
        <w:t>Output</w:t>
      </w:r>
    </w:p>
    <w:p>
      <w:pPr>
        <w:pStyle w:val="TextBody"/>
        <w:numPr>
          <w:ilvl w:val="0"/>
          <w:numId w:val="8"/>
        </w:numPr>
        <w:rPr/>
      </w:pPr>
      <w:r>
        <w:rPr/>
        <w:t>JSON file (`contaminations.json`) with contamination results.</w:t>
      </w:r>
    </w:p>
    <w:p>
      <w:pPr>
        <w:pStyle w:val="TextBody"/>
        <w:numPr>
          <w:ilvl w:val="0"/>
          <w:numId w:val="8"/>
        </w:numPr>
        <w:rPr/>
      </w:pPr>
      <w:r>
        <w:rPr/>
        <w:t>QC_status_contaminations**: Updated QC status as an environment variable.</w:t>
      </w:r>
    </w:p>
    <w:p>
      <w:pPr>
        <w:pStyle w:val="TextBody"/>
        <w:numPr>
          <w:ilvl w:val="0"/>
          <w:numId w:val="8"/>
        </w:numPr>
        <w:rPr/>
      </w:pPr>
      <w:r>
        <w:rPr/>
        <w:t>FINAL_GENUS: Most likely genus as an environment variable.</w:t>
      </w:r>
      <w:r>
        <w:br w:type="page"/>
      </w:r>
    </w:p>
    <w:p>
      <w:pPr>
        <w:pStyle w:val="Heading2"/>
        <w:rPr/>
      </w:pPr>
      <w:bookmarkStart w:id="72" w:name="__RefHeading___Toc2786_900569203"/>
      <w:bookmarkEnd w:id="72"/>
      <w:r>
        <w:rPr/>
        <w:t>Module lofreq.nf</w:t>
      </w:r>
    </w:p>
    <w:p>
      <w:pPr>
        <w:pStyle w:val="TextBody"/>
        <w:rPr>
          <w:i/>
          <w:i/>
          <w:iCs/>
        </w:rPr>
      </w:pPr>
      <w:r>
        <w:rPr/>
        <w:t>One of three SNP callers that uses a probabilistic model to detect low-frequency variants from high-throughput sequencing data, optimizing for sensitivity in the presence of sequencing errors.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i/>
          <w:iCs/>
        </w:rPr>
      </w:r>
    </w:p>
    <w:p>
      <w:pPr>
        <w:pStyle w:val="Codebox"/>
        <w:rPr>
          <w:i/>
          <w:i/>
          <w:iCs/>
        </w:rPr>
      </w:pPr>
      <w:r>
        <w:rPr/>
        <w:t xml:space="preserve">    </w:t>
      </w:r>
      <w:r>
        <w:rPr/>
        <w:t>lofreq call-parallel --pp-threads ${params.threads} \</w:t>
      </w:r>
    </w:p>
    <w:p>
      <w:pPr>
        <w:pStyle w:val="Codebox"/>
        <w:rPr>
          <w:i/>
          <w:i/>
          <w:iCs/>
        </w:rPr>
      </w:pPr>
      <w:r>
        <w:rPr/>
        <w:t xml:space="preserve">                         </w:t>
      </w:r>
      <w:r>
        <w:rPr/>
        <w:t>--ref ${reference_fasta} \</w:t>
      </w:r>
    </w:p>
    <w:p>
      <w:pPr>
        <w:pStyle w:val="Codebox"/>
        <w:rPr>
          <w:i/>
          <w:i/>
          <w:iCs/>
        </w:rPr>
      </w:pPr>
      <w:r>
        <w:rPr/>
        <w:t xml:space="preserve">                         </w:t>
      </w:r>
      <w:r>
        <w:rPr/>
        <w:t>--max-depth ${params.max_depth} \</w:t>
      </w:r>
    </w:p>
    <w:p>
      <w:pPr>
        <w:pStyle w:val="Codebox"/>
        <w:rPr>
          <w:i/>
          <w:i/>
          <w:iCs/>
        </w:rPr>
      </w:pPr>
      <w:r>
        <w:rPr/>
        <w:t xml:space="preserve">                         </w:t>
      </w:r>
      <w:r>
        <w:rPr/>
        <w:t>--min-cov ${params.min_cov} \</w:t>
      </w:r>
    </w:p>
    <w:p>
      <w:pPr>
        <w:pStyle w:val="Codebox"/>
        <w:rPr>
          <w:i/>
          <w:i/>
          <w:iCs/>
        </w:rPr>
      </w:pPr>
      <w:r>
        <w:rPr/>
        <w:t xml:space="preserve">                         </w:t>
      </w:r>
      <w:r>
        <w:rPr/>
        <w:t>--call-indels \</w:t>
      </w:r>
    </w:p>
    <w:p>
      <w:pPr>
        <w:pStyle w:val="Codebox"/>
        <w:rPr>
          <w:i/>
          <w:i/>
          <w:iCs/>
        </w:rPr>
      </w:pPr>
      <w:r>
        <w:rPr/>
        <w:t xml:space="preserve">                         </w:t>
      </w:r>
      <w:r>
        <w:rPr/>
        <w:t>--out detected_variants_lofreq.vcf \</w:t>
      </w:r>
    </w:p>
    <w:p>
      <w:pPr>
        <w:pStyle w:val="Codebox"/>
        <w:rPr>
          <w:i/>
          <w:i/>
          <w:iCs/>
        </w:rPr>
      </w:pPr>
      <w:r>
        <w:rPr/>
        <w:t xml:space="preserve">                         </w:t>
      </w:r>
      <w:r>
        <w:rPr/>
        <w:t>${bam}</w:t>
      </w:r>
    </w:p>
    <w:p>
      <w:pPr>
        <w:pStyle w:val="Normal"/>
        <w:rPr>
          <w:i/>
          <w:i/>
          <w:iCs/>
        </w:rPr>
      </w:pPr>
      <w:r>
        <w:rPr>
          <w:i/>
          <w:iCs/>
        </w:rPr>
      </w:r>
    </w:p>
    <w:p>
      <w:pPr>
        <w:pStyle w:val="Normal"/>
        <w:rPr>
          <w:i/>
          <w:i/>
          <w:iCs/>
        </w:rPr>
      </w:pPr>
      <w:r>
        <w:rPr>
          <w:i/>
          <w:iCs/>
        </w:rPr>
      </w:r>
    </w:p>
    <w:p>
      <w:pPr>
        <w:pStyle w:val="Normal"/>
        <w:numPr>
          <w:ilvl w:val="0"/>
          <w:numId w:val="15"/>
        </w:numPr>
        <w:rPr/>
      </w:pPr>
      <w:r>
        <w:rPr>
          <w:rStyle w:val="Code"/>
        </w:rPr>
        <w:t>--pp-threads</w:t>
      </w:r>
      <w:r>
        <w:rPr/>
        <w:t xml:space="preserve"> – number of CPU threads used for computations</w:t>
      </w:r>
    </w:p>
    <w:p>
      <w:pPr>
        <w:pStyle w:val="Normal"/>
        <w:numPr>
          <w:ilvl w:val="0"/>
          <w:numId w:val="15"/>
        </w:numPr>
        <w:rPr/>
      </w:pPr>
      <w:r>
        <w:rPr>
          <w:rStyle w:val="Code"/>
        </w:rPr>
        <w:t>-f</w:t>
      </w:r>
      <w:r>
        <w:rPr/>
        <w:t xml:space="preserve"> – path to the reference genome</w:t>
      </w:r>
    </w:p>
    <w:p>
      <w:pPr>
        <w:pStyle w:val="Normal"/>
        <w:numPr>
          <w:ilvl w:val="0"/>
          <w:numId w:val="15"/>
        </w:numPr>
        <w:rPr/>
      </w:pPr>
      <w:r>
        <w:rPr>
          <w:rStyle w:val="Code"/>
        </w:rPr>
        <w:t>--max-depth</w:t>
      </w:r>
      <w:r>
        <w:rPr/>
        <w:t xml:space="preserve"> – cutoff for the maximum coverage considered for each position</w:t>
      </w:r>
    </w:p>
    <w:p>
      <w:pPr>
        <w:pStyle w:val="Normal"/>
        <w:numPr>
          <w:ilvl w:val="0"/>
          <w:numId w:val="15"/>
        </w:numPr>
        <w:rPr/>
      </w:pPr>
      <w:r>
        <w:rPr>
          <w:rStyle w:val="Code"/>
        </w:rPr>
        <w:t>-C</w:t>
      </w:r>
      <w:r>
        <w:rPr/>
        <w:t xml:space="preserve"> – minimum coverage required for a position to be considered carrying a variant</w:t>
      </w:r>
    </w:p>
    <w:p>
      <w:pPr>
        <w:pStyle w:val="Normal"/>
        <w:numPr>
          <w:ilvl w:val="0"/>
          <w:numId w:val="15"/>
        </w:numPr>
        <w:rPr>
          <w:i/>
          <w:i/>
          <w:iCs/>
        </w:rPr>
      </w:pPr>
      <w:r>
        <w:rPr>
          <w:rStyle w:val="Code"/>
        </w:rPr>
        <w:t>--call-indels</w:t>
      </w:r>
      <w:r>
        <w:rPr/>
        <w:t xml:space="preserve"> – also identify INDELs</w:t>
      </w:r>
    </w:p>
    <w:p>
      <w:pPr>
        <w:pStyle w:val="Normal"/>
        <w:rPr>
          <w:i/>
          <w:i/>
          <w:iCs/>
        </w:rPr>
      </w:pPr>
      <w:r>
        <w:rPr>
          <w:i/>
          <w:iCs/>
        </w:rPr>
      </w:r>
    </w:p>
    <w:p>
      <w:pPr>
        <w:pStyle w:val="Normal"/>
        <w:rPr>
          <w:i/>
          <w:i/>
          <w:iCs/>
        </w:rPr>
      </w:pPr>
      <w:r>
        <w:rPr/>
        <w:t xml:space="preserve">In the case of the lofreq program, we do not use parameters related to nucleotide quality in the read and mapping quality to the reference genome. The issue with counting correct coverage in such situations by the lofreq program is described in the following GitHub issue: </w:t>
      </w:r>
      <w:hyperlink r:id="rId30">
        <w:r>
          <w:rPr>
            <w:rStyle w:val="InternetLink"/>
          </w:rPr>
          <w:t>https://github.com/CSB5/lofreq/issues/80</w:t>
        </w:r>
      </w:hyperlink>
      <w:r>
        <w:rPr/>
        <w:t>. To calculate the proportions of the reference and alternative alleles, we use the DP4 field from the VCF file. It should be noted that it does not always sum up to the value in the DP field. For example, position 19,985 for Sample 10 from the EQA test. This is a region where the mutation is just behind a deletion, and moreover, the sequence being deleted is a repeated element in a palindrome. Additionally, this field is erroneous in the case of INDELs, so they continue to be analyzed if they meet the coverage, quality, and reference allele frequency criteria defined by the variable `</w:t>
      </w:r>
      <w:r>
        <w:rPr>
          <w:rStyle w:val="Code"/>
        </w:rPr>
        <w:t>$lower_ambig</w:t>
      </w:r>
      <w:r>
        <w:rPr/>
        <w:t>`.</w:t>
      </w:r>
    </w:p>
    <w:p>
      <w:pPr>
        <w:pStyle w:val="Normal"/>
        <w:rPr>
          <w:i/>
          <w:i/>
          <w:iCs/>
        </w:rPr>
      </w:pPr>
      <w:r>
        <w:rPr>
          <w:i/>
          <w:iCs/>
        </w:rPr>
      </w:r>
    </w:p>
    <w:p>
      <w:pPr>
        <w:pStyle w:val="Normal"/>
        <w:rPr>
          <w:i/>
          <w:i/>
          <w:iCs/>
        </w:rPr>
      </w:pPr>
      <w:r>
        <w:rPr/>
        <w:t xml:space="preserve">Then, the steps are identical to those for the freebayes program. The </w:t>
      </w:r>
      <w:r>
        <w:rPr>
          <w:rStyle w:val="Path"/>
        </w:rPr>
        <w:t>output_detected_variants_lofreq.vcf</w:t>
      </w:r>
      <w:r>
        <w:rPr/>
        <w:t xml:space="preserve"> file is split into two: one with mutations with high usage of the alternative allele, and the other with similar usage of the reference and alternative alleles. The files are appropriately filtered, merged, and used to identify the final list of mutations. Intermediate files leading to the creation of a fasta file with the sample genome are created as with the other programs.</w:t>
      </w:r>
      <w:r>
        <w:br w:type="page"/>
      </w:r>
    </w:p>
    <w:p>
      <w:pPr>
        <w:pStyle w:val="Heading2"/>
        <w:rPr/>
      </w:pPr>
      <w:bookmarkStart w:id="73" w:name="__RefHeading___Toc2788_900569203"/>
      <w:bookmarkEnd w:id="73"/>
      <w:r>
        <w:rPr/>
        <w:t>Module lowCov.nf</w:t>
      </w:r>
    </w:p>
    <w:p>
      <w:pPr>
        <w:pStyle w:val="TextBody"/>
        <w:rPr>
          <w:i/>
          <w:i/>
          <w:iCs/>
        </w:rPr>
      </w:pPr>
      <w:r>
        <w:rPr/>
        <w:t>Predicts regions with low coverage.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i/>
          <w:iCs/>
        </w:rPr>
      </w:r>
    </w:p>
    <w:p>
      <w:pPr>
        <w:pStyle w:val="Normal"/>
        <w:rPr/>
      </w:pPr>
      <w:r>
        <w:rPr>
          <w:rStyle w:val="Code"/>
        </w:rPr>
        <w:t xml:space="preserve">    </w:t>
      </w:r>
      <w:r>
        <w:rPr>
          <w:rStyle w:val="Code"/>
        </w:rPr>
        <w:t>pysam_quality_mask_final.py ${bam} 10 ${params.mask}</w:t>
      </w:r>
    </w:p>
    <w:p>
      <w:pPr>
        <w:pStyle w:val="Normal"/>
        <w:rPr>
          <w:i/>
          <w:i/>
          <w:iCs/>
        </w:rPr>
      </w:pPr>
      <w:r>
        <w:rPr>
          <w:i/>
          <w:iCs/>
        </w:rPr>
      </w:r>
    </w:p>
    <w:p>
      <w:pPr>
        <w:pStyle w:val="Normal"/>
        <w:rPr>
          <w:i/>
          <w:i/>
          <w:iCs/>
        </w:rPr>
      </w:pPr>
      <w:r>
        <w:rPr/>
        <w:t>To identify regions with low coverage, we utilize the "count coverage" function available within the pysam package. This function has an advantage over a similar function in the `bedtools` package because it allows counting coverage while considering nucleotide quality. The Python script takes 3 arguments. The first is the bam file from which coverage is calculated, the second is the quality threshold, only nucleotides mapping to a region with at least this value are considered. The last argument is the coverage value, only positions in the genome with coverage below this value are returned. The output is a file named `quality_mask.bed`. In this file, each position with coverage below the threshold is returned as a separate entry. The file has standard 3 columns. The first is the chromosome name, the second is the start of the region (0-indexed), and the third column is the end of the region (0-indexed). Like any bed file, the regions are closed on the left and open on the right. An example content of the file is:</w:t>
      </w:r>
    </w:p>
    <w:p>
      <w:pPr>
        <w:pStyle w:val="Normal"/>
        <w:rPr>
          <w:i/>
          <w:i/>
          <w:iCs/>
        </w:rPr>
      </w:pPr>
      <w:r>
        <w:rPr>
          <w:i/>
          <w:iCs/>
        </w:rPr>
      </w:r>
    </w:p>
    <w:p>
      <w:pPr>
        <w:pStyle w:val="Codebox"/>
        <w:rPr/>
      </w:pPr>
      <w:r>
        <w:rPr/>
        <w:t>MN908947.3    0    1</w:t>
      </w:r>
    </w:p>
    <w:p>
      <w:pPr>
        <w:pStyle w:val="Codebox"/>
        <w:rPr/>
      </w:pPr>
      <w:r>
        <w:rPr/>
        <w:t>MN908947.3    1    2</w:t>
      </w:r>
    </w:p>
    <w:p>
      <w:pPr>
        <w:pStyle w:val="Codebox"/>
        <w:rPr/>
      </w:pPr>
      <w:r>
        <w:rPr/>
        <w:t>MN908947.3    2    3</w:t>
      </w:r>
    </w:p>
    <w:p>
      <w:pPr>
        <w:pStyle w:val="Codebox"/>
        <w:rPr/>
      </w:pPr>
      <w:r>
        <w:rPr/>
        <w:t>MN908947.3    2    4</w:t>
      </w:r>
    </w:p>
    <w:p>
      <w:pPr>
        <w:pStyle w:val="Codebox"/>
        <w:rPr/>
      </w:pPr>
      <w:r>
        <w:rPr/>
        <w:t>MN908947.3    100    200</w:t>
      </w:r>
    </w:p>
    <w:p>
      <w:pPr>
        <w:pStyle w:val="Normal"/>
        <w:rPr>
          <w:i/>
          <w:i/>
          <w:iCs/>
        </w:rPr>
      </w:pPr>
      <w:r>
        <w:rPr>
          <w:i/>
          <w:iCs/>
        </w:rPr>
      </w:r>
    </w:p>
    <w:p>
      <w:pPr>
        <w:pStyle w:val="Codebox"/>
        <w:rPr>
          <w:i/>
          <w:i/>
          <w:iCs/>
        </w:rPr>
      </w:pPr>
      <w:r>
        <w:rPr/>
        <w:t xml:space="preserve">    </w:t>
      </w:r>
      <w:r>
        <w:rPr/>
        <w:t>cat quality_mask.bed | bedtools merge -d 2 | \</w:t>
      </w:r>
    </w:p>
    <w:p>
      <w:pPr>
        <w:pStyle w:val="Codebox"/>
        <w:rPr>
          <w:i/>
          <w:i/>
          <w:iCs/>
        </w:rPr>
      </w:pPr>
      <w:r>
        <w:rPr/>
        <w:t xml:space="preserve">                           </w:t>
      </w:r>
      <w:r>
        <w:rPr/>
        <w:t>awk 'BEGIN {OFS = "\t"}; {if (\$3-\$2 &gt; 3) print \$1,\$2,\$3}' &gt;&gt; low_coverage.bed</w:t>
      </w:r>
    </w:p>
    <w:p>
      <w:pPr>
        <w:pStyle w:val="Normal"/>
        <w:rPr>
          <w:i/>
          <w:i/>
          <w:iCs/>
        </w:rPr>
      </w:pPr>
      <w:r>
        <w:rPr>
          <w:i/>
          <w:iCs/>
        </w:rPr>
      </w:r>
    </w:p>
    <w:p>
      <w:pPr>
        <w:pStyle w:val="Normal"/>
        <w:rPr>
          <w:i/>
          <w:i/>
          <w:iCs/>
        </w:rPr>
      </w:pPr>
      <w:r>
        <w:rPr/>
        <w:t xml:space="preserve">In the next step, using </w:t>
      </w:r>
      <w:r>
        <w:rPr>
          <w:rStyle w:val="Code"/>
        </w:rPr>
        <w:t>bedtools</w:t>
      </w:r>
      <w:r>
        <w:rPr/>
        <w:t xml:space="preserve">, regions in the </w:t>
      </w:r>
      <w:r>
        <w:rPr>
          <w:rStyle w:val="Path"/>
        </w:rPr>
        <w:t>quality_mask.bed</w:t>
      </w:r>
      <w:r>
        <w:rPr/>
        <w:t xml:space="preserve"> file are merged if the ranges they cover are separated by no more than 2 nucleotides. If, after merging, a low coverage region is at least 4 nucleotides long, it is saved to the </w:t>
      </w:r>
      <w:r>
        <w:rPr>
          <w:rStyle w:val="Path"/>
        </w:rPr>
        <w:t>low_coverage.bed</w:t>
      </w:r>
      <w:r>
        <w:rPr/>
        <w:t xml:space="preserve"> file; otherwise, the region is ignored. This empirical criterion helps avoid situations where coverage in a region oscillates around the value given in the </w:t>
      </w:r>
      <w:r>
        <w:rPr>
          <w:rStyle w:val="Code"/>
        </w:rPr>
        <w:t>$mask</w:t>
      </w:r>
      <w:r>
        <w:rPr/>
        <w:t xml:space="preserve"> argument, and the region is alternately masked and unmasked by very short segments. The example content of the </w:t>
      </w:r>
      <w:r>
        <w:rPr>
          <w:rStyle w:val="Path"/>
        </w:rPr>
        <w:t>quality_mask.bed</w:t>
      </w:r>
      <w:r>
        <w:rPr/>
        <w:t xml:space="preserve"> file shown above, after this step, would look like this:</w:t>
      </w:r>
    </w:p>
    <w:p>
      <w:pPr>
        <w:pStyle w:val="Normal"/>
        <w:rPr>
          <w:i/>
          <w:i/>
          <w:iCs/>
        </w:rPr>
      </w:pPr>
      <w:r>
        <w:rPr>
          <w:i/>
          <w:iCs/>
        </w:rPr>
      </w:r>
    </w:p>
    <w:p>
      <w:pPr>
        <w:pStyle w:val="Codebox"/>
        <w:rPr>
          <w:i/>
          <w:i/>
          <w:iCs/>
        </w:rPr>
      </w:pPr>
      <w:r>
        <w:rPr/>
        <w:t>MN908947.3    0    4</w:t>
      </w:r>
    </w:p>
    <w:p>
      <w:pPr>
        <w:pStyle w:val="Normal"/>
        <w:rPr>
          <w:i/>
          <w:i/>
          <w:iCs/>
        </w:rPr>
      </w:pPr>
      <w:r>
        <w:rPr>
          <w:i/>
          <w:iCs/>
        </w:rPr>
      </w:r>
    </w:p>
    <w:p>
      <w:pPr>
        <w:pStyle w:val="Normal"/>
        <w:rPr>
          <w:i/>
          <w:i/>
          <w:iCs/>
        </w:rPr>
      </w:pPr>
      <w:r>
        <w:rPr>
          <w:i/>
          <w:iCs/>
        </w:rPr>
      </w:r>
    </w:p>
    <w:p>
      <w:pPr>
        <w:pStyle w:val="Normal"/>
        <w:rPr>
          <w:i/>
          <w:i/>
          <w:iCs/>
        </w:rPr>
      </w:pPr>
      <w:r>
        <w:rPr/>
        <w:t xml:space="preserve">This information is stored in the </w:t>
      </w:r>
      <w:r>
        <w:rPr>
          <w:rStyle w:val="Path"/>
        </w:rPr>
        <w:t>low_coverage.bed</w:t>
      </w:r>
      <w:r>
        <w:rPr/>
        <w:t xml:space="preserve"> file.</w:t>
      </w:r>
    </w:p>
    <w:p>
      <w:pPr>
        <w:pStyle w:val="Normal"/>
        <w:rPr>
          <w:i/>
          <w:i/>
          <w:iCs/>
        </w:rPr>
      </w:pPr>
      <w:r>
        <w:rPr>
          <w:i/>
          <w:iCs/>
        </w:rPr>
      </w:r>
    </w:p>
    <w:p>
      <w:pPr>
        <w:pStyle w:val="Codebox"/>
        <w:rPr/>
      </w:pPr>
      <w:r>
        <w:rPr/>
        <w:t xml:space="preserve">    </w:t>
      </w:r>
      <w:r>
        <w:rPr/>
        <w:t>bedtools maskfasta -fi ${reference_fasta} \</w:t>
      </w:r>
    </w:p>
    <w:p>
      <w:pPr>
        <w:pStyle w:val="Codebox"/>
        <w:rPr/>
      </w:pPr>
      <w:r>
        <w:rPr/>
        <w:t xml:space="preserve">                       </w:t>
      </w:r>
      <w:r>
        <w:rPr/>
        <w:t>-bed low_coverage.bed \</w:t>
      </w:r>
    </w:p>
    <w:p>
      <w:pPr>
        <w:pStyle w:val="Codebox"/>
        <w:rPr/>
      </w:pPr>
      <w:r>
        <w:rPr/>
        <w:t xml:space="preserve">                       </w:t>
      </w:r>
      <w:r>
        <w:rPr/>
        <w:t>-fo lowcoverage_masked.fa</w:t>
      </w:r>
    </w:p>
    <w:p>
      <w:pPr>
        <w:pStyle w:val="Normal"/>
        <w:rPr>
          <w:i/>
          <w:i/>
          <w:iCs/>
        </w:rPr>
      </w:pPr>
      <w:r>
        <w:rPr>
          <w:i/>
          <w:iCs/>
        </w:rPr>
      </w:r>
    </w:p>
    <w:p>
      <w:pPr>
        <w:pStyle w:val="Normal"/>
        <w:rPr>
          <w:i/>
          <w:i/>
          <w:iCs/>
        </w:rPr>
      </w:pPr>
      <w:r>
        <w:rPr/>
        <w:t>The final step is to create a fasta file with the reference genome where positions with low coverage are masked with Ns. For this purpose, we use the appropriate function of the`</w:t>
      </w:r>
      <w:r>
        <w:rPr>
          <w:rStyle w:val="Code"/>
        </w:rPr>
        <w:t>bedtools</w:t>
      </w:r>
      <w:r>
        <w:rPr/>
        <w:t xml:space="preserve"> program. The fasta file with such a genome is named </w:t>
      </w:r>
      <w:r>
        <w:rPr>
          <w:rStyle w:val="Path"/>
        </w:rPr>
        <w:t>lowcoverage_masked.fa</w:t>
      </w:r>
      <w:r>
        <w:rPr/>
        <w:t>.</w:t>
      </w:r>
      <w:r>
        <w:br w:type="page"/>
      </w:r>
    </w:p>
    <w:p>
      <w:pPr>
        <w:pStyle w:val="Heading2"/>
        <w:rPr/>
      </w:pPr>
      <w:bookmarkStart w:id="74" w:name="__RefHeading___Toc2790_900569203"/>
      <w:bookmarkEnd w:id="74"/>
      <w:r>
        <w:rPr/>
        <w:t>Module make_genome_from_vcf.nf</w:t>
      </w:r>
    </w:p>
    <w:p>
      <w:pPr>
        <w:pStyle w:val="TextBody"/>
        <w:rPr>
          <w:i w:val="false"/>
          <w:i w:val="false"/>
          <w:iCs w:val="false"/>
        </w:rPr>
      </w:pPr>
      <w:r>
        <w:rPr>
          <w:i w:val="false"/>
          <w:iCs w:val="false"/>
        </w:rPr>
        <w:t xml:space="preserve">Creates genome from VCF file (nanopore only). Equivalent of </w:t>
      </w:r>
      <w:r>
        <w:rPr>
          <w:i w:val="false"/>
          <w:iCs w:val="false"/>
        </w:rPr>
        <w:fldChar w:fldCharType="begin"/>
      </w:r>
      <w:r>
        <w:rPr>
          <w:i w:val="false"/>
          <w:iCs w:val="false"/>
        </w:rPr>
        <w:instrText xml:space="preserve"> REF __RefHeading___Toc2750_900569203 \h </w:instrText>
      </w:r>
      <w:r>
        <w:rPr>
          <w:i w:val="false"/>
          <w:iCs w:val="false"/>
        </w:rPr>
        <w:fldChar w:fldCharType="separate"/>
      </w:r>
      <w:r>
        <w:rPr>
          <w:i w:val="false"/>
          <w:iCs w:val="false"/>
        </w:rPr>
        <w:t>Module consensus.nf</w:t>
      </w:r>
      <w:r>
        <w:rPr>
          <w:i w:val="false"/>
          <w:iCs w:val="false"/>
        </w:rPr>
        <w:fldChar w:fldCharType="end"/>
      </w:r>
      <w:r>
        <w:rPr>
          <w:i w:val="false"/>
          <w:iCs w:val="false"/>
        </w:rPr>
        <w:t>.</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 xml:space="preserve">  </w:t>
      </w:r>
      <w:r>
        <w:rPr/>
        <w:t>cat genome.fasta | bcftools consensus --mark-del X input.vcf.gz &gt; sample_genome.fa</w:t>
      </w:r>
    </w:p>
    <w:p>
      <w:pPr>
        <w:pStyle w:val="Normal"/>
        <w:rPr>
          <w:i/>
          <w:i/>
          <w:iCs/>
        </w:rPr>
      </w:pPr>
      <w:r>
        <w:rPr/>
        <w:t xml:space="preserve">   </w:t>
      </w:r>
    </w:p>
    <w:p>
      <w:pPr>
        <w:pStyle w:val="Normal"/>
        <w:numPr>
          <w:ilvl w:val="0"/>
          <w:numId w:val="16"/>
        </w:numPr>
        <w:rPr>
          <w:i/>
          <w:i/>
          <w:iCs/>
        </w:rPr>
      </w:pPr>
      <w:r>
        <w:rPr>
          <w:rStyle w:val="Code"/>
        </w:rPr>
        <w:t>--mark-del X</w:t>
      </w:r>
      <w:r>
        <w:rPr/>
        <w:t xml:space="preserve"> - very important option, that makes alignments easier.</w:t>
      </w:r>
      <w:r>
        <w:br w:type="page"/>
      </w:r>
    </w:p>
    <w:p>
      <w:pPr>
        <w:pStyle w:val="Heading2"/>
        <w:rPr/>
      </w:pPr>
      <w:bookmarkStart w:id="75" w:name="__RefHeading___Toc2792_900569203"/>
      <w:bookmarkEnd w:id="75"/>
      <w:r>
        <w:rPr/>
        <w:t>Module manta.nf</w:t>
      </w:r>
    </w:p>
    <w:p>
      <w:pPr>
        <w:pStyle w:val="TextBody"/>
        <w:rPr>
          <w:i/>
          <w:i/>
          <w:iCs/>
        </w:rPr>
      </w:pPr>
      <w:r>
        <w:rPr/>
        <w:t xml:space="preserve">The purpose of the Manta module is to identify structural variants. Manta utilizes a separate container named </w:t>
      </w:r>
      <w:r>
        <w:rPr>
          <w:rStyle w:val="Code"/>
        </w:rPr>
        <w:t>nf_illumina_sars-4.1-manta</w:t>
      </w:r>
      <w:r>
        <w:rPr/>
        <w:t>. Manta is a standalone pipeline described in detail on the [GitHub page](</w:t>
      </w:r>
      <w:hyperlink r:id="rId31">
        <w:r>
          <w:rPr>
            <w:rStyle w:val="InternetLink"/>
          </w:rPr>
          <w:t>https://github.com/Illumina/manta</w:t>
        </w:r>
      </w:hyperlink>
      <w:r>
        <w:rPr/>
        <w:t>).</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The proportion of Ns to the genome length exceeds 90%.</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rFonts w:ascii="DejaVu Sans Mono" w:hAnsi="DejaVu Sans Mono"/>
              </w:rPr>
            </w:pPr>
            <w:r>
              <w:rPr>
                <w:rFonts w:ascii="DejaVu Sans Mono" w:hAnsi="DejaVu Sans Mono"/>
              </w:rPr>
              <w:t xml:space="preserve"> </w:t>
            </w:r>
            <w:r>
              <w:rPr>
                <w:rStyle w:val="Code"/>
                <w:rFonts w:ascii="DejaVu Sans Mono" w:hAnsi="DejaVu Sans Mono"/>
              </w:rPr>
              <w:t>"genome_files_data": {}</w:t>
            </w:r>
          </w:p>
        </w:tc>
      </w:tr>
    </w:tbl>
    <w:p>
      <w:pPr>
        <w:pStyle w:val="Normal"/>
        <w:rPr>
          <w:i/>
          <w:i/>
          <w:iCs/>
        </w:rPr>
      </w:pPr>
      <w:r>
        <w:rPr>
          <w:i/>
          <w:iCs/>
        </w:rPr>
      </w:r>
      <w:r>
        <w:br w:type="page"/>
      </w:r>
    </w:p>
    <w:p>
      <w:pPr>
        <w:pStyle w:val="Heading2"/>
        <w:rPr/>
      </w:pPr>
      <w:bookmarkStart w:id="76" w:name="__RefHeading___Toc2794_900569203"/>
      <w:bookmarkEnd w:id="76"/>
      <w:r>
        <w:rPr/>
        <w:t>Module masking.nf</w:t>
      </w:r>
    </w:p>
    <w:p>
      <w:pPr>
        <w:pStyle w:val="TextBody"/>
        <w:rPr>
          <w:i/>
          <w:i/>
          <w:iCs/>
        </w:rPr>
      </w:pPr>
      <w:r>
        <w:rPr>
          <w:i/>
          <w:iCs/>
        </w:rPr>
        <w:t>Primer masking (There are two separate modules for Illumina and Nanopore.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Heading3"/>
        <w:rPr>
          <w:i/>
          <w:i/>
          <w:iCs/>
        </w:rPr>
      </w:pPr>
      <w:r>
        <w:rPr/>
        <w:t>Illumina</w:t>
      </w:r>
    </w:p>
    <w:p>
      <w:pPr>
        <w:pStyle w:val="Codebox"/>
        <w:rPr/>
      </w:pPr>
      <w:r>
        <w:rPr/>
        <w:t xml:space="preserve">    </w:t>
      </w:r>
      <w:r>
        <w:rPr/>
        <w:t>length=`echo "${params.length} - 40" | bc -l`</w:t>
      </w:r>
    </w:p>
    <w:p>
      <w:pPr>
        <w:pStyle w:val="Codebox"/>
        <w:rPr/>
      </w:pPr>
      <w:r>
        <w:rPr/>
        <w:t xml:space="preserve">    </w:t>
      </w:r>
      <w:r>
        <w:rPr/>
        <w:t>ivar trim -i ${bam} \</w:t>
      </w:r>
    </w:p>
    <w:p>
      <w:pPr>
        <w:pStyle w:val="Codebox"/>
        <w:rPr/>
      </w:pPr>
      <w:r>
        <w:rPr/>
        <w:t xml:space="preserve">             </w:t>
      </w:r>
      <w:r>
        <w:rPr/>
        <w:t>-b ${primers} \</w:t>
      </w:r>
    </w:p>
    <w:p>
      <w:pPr>
        <w:pStyle w:val="Codebox"/>
        <w:rPr/>
      </w:pPr>
      <w:r>
        <w:rPr/>
        <w:t xml:space="preserve">             </w:t>
      </w:r>
      <w:r>
        <w:rPr/>
        <w:t>-m \${length} \</w:t>
      </w:r>
    </w:p>
    <w:p>
      <w:pPr>
        <w:pStyle w:val="Codebox"/>
        <w:rPr/>
      </w:pPr>
      <w:r>
        <w:rPr/>
        <w:t xml:space="preserve">             </w:t>
      </w:r>
      <w:r>
        <w:rPr/>
        <w:t>-f ${pairs} \</w:t>
      </w:r>
    </w:p>
    <w:p>
      <w:pPr>
        <w:pStyle w:val="Codebox"/>
        <w:rPr/>
      </w:pPr>
      <w:r>
        <w:rPr/>
        <w:t xml:space="preserve">             </w:t>
      </w:r>
      <w:r>
        <w:rPr/>
        <w:t>-q ${params.quality_initial} \</w:t>
      </w:r>
    </w:p>
    <w:p>
      <w:pPr>
        <w:pStyle w:val="Codebox"/>
        <w:rPr/>
      </w:pPr>
      <w:r>
        <w:rPr/>
        <w:t xml:space="preserve">             </w:t>
      </w:r>
      <w:r>
        <w:rPr/>
        <w:t>-e \</w:t>
      </w:r>
    </w:p>
    <w:p>
      <w:pPr>
        <w:pStyle w:val="Codebox"/>
        <w:rPr/>
      </w:pPr>
      <w:r>
        <w:rPr/>
        <w:t xml:space="preserve">             </w:t>
      </w:r>
      <w:r>
        <w:rPr/>
        <w:t>-p ivar_trimmed_all</w:t>
      </w:r>
    </w:p>
    <w:p>
      <w:pPr>
        <w:pStyle w:val="Normal"/>
        <w:rPr>
          <w:i/>
          <w:i/>
          <w:iCs/>
        </w:rPr>
      </w:pPr>
      <w:r>
        <w:rPr/>
        <w:t xml:space="preserve">Standard ivar usage. Here, we invoke it only on reads that map to a single amplicon (reads from Step 4 points 1 a,b,c). These reads are stored in a file named </w:t>
      </w:r>
      <w:r>
        <w:rPr>
          <w:rStyle w:val="Code"/>
        </w:rPr>
        <w:t>reads_inneramplicon_sort.bam</w:t>
      </w:r>
      <w:r>
        <w:rPr/>
        <w:t>. At this stage, we DO NOT use reads that come from amplicon fusions, as those are removed in the Python script call in Step 4.</w:t>
      </w:r>
    </w:p>
    <w:p>
      <w:pPr>
        <w:pStyle w:val="Normal"/>
        <w:rPr>
          <w:i/>
          <w:i/>
          <w:iCs/>
        </w:rPr>
      </w:pPr>
      <w:r>
        <w:rPr>
          <w:i/>
          <w:iCs/>
        </w:rPr>
      </w:r>
    </w:p>
    <w:p>
      <w:pPr>
        <w:pStyle w:val="Normal"/>
        <w:rPr>
          <w:i/>
          <w:i/>
          <w:iCs/>
        </w:rPr>
      </w:pPr>
      <w:r>
        <w:rPr/>
        <w:t>The flags for ivar signify:</w:t>
      </w:r>
    </w:p>
    <w:p>
      <w:pPr>
        <w:pStyle w:val="Normal"/>
        <w:numPr>
          <w:ilvl w:val="0"/>
          <w:numId w:val="17"/>
        </w:numPr>
        <w:rPr/>
      </w:pPr>
      <w:r>
        <w:rPr>
          <w:rStyle w:val="Code"/>
        </w:rPr>
        <w:t>-b</w:t>
      </w:r>
      <w:r>
        <w:rPr/>
        <w:tab/>
        <w:t>path to the amplicon scheme file</w:t>
      </w:r>
    </w:p>
    <w:p>
      <w:pPr>
        <w:pStyle w:val="Normal"/>
        <w:numPr>
          <w:ilvl w:val="0"/>
          <w:numId w:val="17"/>
        </w:numPr>
        <w:rPr/>
      </w:pPr>
      <w:r>
        <w:rPr>
          <w:rStyle w:val="Code"/>
        </w:rPr>
        <w:t>-m</w:t>
      </w:r>
      <w:r>
        <w:rPr/>
        <w:tab/>
        <w:t>minimum read length after masking. Symbolically, it indicates that a read can be 40 bases shorter than the length selected during script invocation (the minimum length read in Step 2 covering the longest EQA test primer would have this length after primer masking)</w:t>
      </w:r>
    </w:p>
    <w:p>
      <w:pPr>
        <w:pStyle w:val="Normal"/>
        <w:numPr>
          <w:ilvl w:val="0"/>
          <w:numId w:val="17"/>
        </w:numPr>
        <w:rPr/>
      </w:pPr>
      <w:r>
        <w:rPr>
          <w:rStyle w:val="Code"/>
        </w:rPr>
        <w:t>-q</w:t>
      </w:r>
      <w:r>
        <w:rPr/>
        <w:tab/>
        <w:t>additional trimming of nucleotides based on quality. This option cannot be turned off, so to prevent ivar from removing nucleotides, we set the flag to the same value as that for Trimmomatic in Step 2</w:t>
      </w:r>
    </w:p>
    <w:p>
      <w:pPr>
        <w:pStyle w:val="Normal"/>
        <w:numPr>
          <w:ilvl w:val="0"/>
          <w:numId w:val="17"/>
        </w:numPr>
        <w:rPr/>
      </w:pPr>
      <w:r>
        <w:rPr>
          <w:rStyle w:val="Code"/>
        </w:rPr>
        <w:t>-e</w:t>
      </w:r>
      <w:r>
        <w:rPr/>
        <w:tab/>
        <w:t>Keep all reads in the output file, including those not mapping to any primer. By default, ivar retains only those reads (not pairs, but individual reads from pairs) that map to any primer. In our case, all we expect from the program is to mask the regions in reads that come from the primer among the pool of predefined read pairs. We want to further analyze reads that are within the amplicon but do not cover the primer.</w:t>
      </w:r>
    </w:p>
    <w:p>
      <w:pPr>
        <w:pStyle w:val="Normal"/>
        <w:numPr>
          <w:ilvl w:val="0"/>
          <w:numId w:val="17"/>
        </w:numPr>
        <w:rPr>
          <w:i/>
          <w:i/>
          <w:iCs/>
        </w:rPr>
      </w:pPr>
      <w:r>
        <w:rPr>
          <w:rStyle w:val="Code"/>
        </w:rPr>
        <w:t>-p</w:t>
      </w:r>
      <w:r>
        <w:rPr/>
        <w:tab/>
        <w:t>prefix, the program will generate a bam file with this name</w:t>
      </w:r>
    </w:p>
    <w:p>
      <w:pPr>
        <w:pStyle w:val="Heading3"/>
        <w:rPr>
          <w:i/>
          <w:i/>
          <w:iCs/>
        </w:rPr>
      </w:pPr>
      <w:r>
        <w:rPr/>
        <w:t>Nanopore</w:t>
      </w:r>
    </w:p>
    <w:p>
      <w:pPr>
        <w:pStyle w:val="Codebox"/>
        <w:rPr>
          <w:i/>
          <w:i/>
          <w:iCs/>
        </w:rPr>
      </w:pPr>
      <w:r>
        <w:rPr/>
        <w:t xml:space="preserve">      </w:t>
      </w:r>
      <w:r>
        <w:rPr/>
        <w:t>if [ ${skip_trimming} -eq 1 ]; then</w:t>
      </w:r>
    </w:p>
    <w:p>
      <w:pPr>
        <w:pStyle w:val="Codebox"/>
        <w:rPr>
          <w:i/>
          <w:i/>
          <w:iCs/>
        </w:rPr>
      </w:pPr>
      <w:r>
        <w:rPr/>
        <w:t xml:space="preserve">        </w:t>
      </w:r>
      <w:r>
        <w:rPr/>
        <w:t>samtools sort -o trimmed.bam $bam</w:t>
      </w:r>
    </w:p>
    <w:p>
      <w:pPr>
        <w:pStyle w:val="Codebox"/>
        <w:rPr>
          <w:i/>
          <w:i/>
          <w:iCs/>
        </w:rPr>
      </w:pPr>
      <w:r>
        <w:rPr/>
        <w:t xml:space="preserve">        </w:t>
      </w:r>
      <w:r>
        <w:rPr/>
        <w:t>samtools index trimmed.bam</w:t>
      </w:r>
    </w:p>
    <w:p>
      <w:pPr>
        <w:pStyle w:val="Codebox"/>
        <w:rPr>
          <w:i/>
          <w:i/>
          <w:iCs/>
        </w:rPr>
      </w:pPr>
      <w:r>
        <w:rPr/>
        <w:t xml:space="preserve">      </w:t>
      </w:r>
      <w:r>
        <w:rPr/>
        <w:t>else</w:t>
      </w:r>
    </w:p>
    <w:p>
      <w:pPr>
        <w:pStyle w:val="Codebox"/>
        <w:rPr>
          <w:i/>
          <w:i/>
          <w:iCs/>
        </w:rPr>
      </w:pPr>
      <w:r>
        <w:rPr/>
        <w:t xml:space="preserve">        </w:t>
      </w:r>
      <w:r>
        <w:rPr/>
        <w:t xml:space="preserve">samtools ampliconclip --filter-len 1 --both-ends -b ${primers} --tolerance ${tolerance} -o forvariants_initial.bam -O bam ${bam} </w:t>
      </w:r>
    </w:p>
    <w:p>
      <w:pPr>
        <w:pStyle w:val="Codebox"/>
        <w:rPr>
          <w:i/>
          <w:i/>
          <w:iCs/>
        </w:rPr>
      </w:pPr>
      <w:r>
        <w:rPr/>
        <w:t xml:space="preserve">        </w:t>
      </w:r>
      <w:r>
        <w:rPr/>
        <w:t>samtools sort -o trimmed.bam forvariants_initial.bam</w:t>
      </w:r>
    </w:p>
    <w:p>
      <w:pPr>
        <w:pStyle w:val="Codebox"/>
        <w:rPr>
          <w:i/>
          <w:i/>
          <w:iCs/>
        </w:rPr>
      </w:pPr>
      <w:r>
        <w:rPr/>
        <w:t xml:space="preserve">        </w:t>
      </w:r>
      <w:r>
        <w:rPr/>
        <w:t>samtools index trimmed.bam</w:t>
      </w:r>
    </w:p>
    <w:p>
      <w:pPr>
        <w:pStyle w:val="Codebox"/>
        <w:rPr>
          <w:i/>
          <w:i/>
          <w:iCs/>
        </w:rPr>
      </w:pPr>
      <w:r>
        <w:rPr/>
        <w:t xml:space="preserve">      </w:t>
      </w:r>
      <w:r>
        <w:rPr/>
        <w:t>fi</w:t>
      </w:r>
    </w:p>
    <w:p>
      <w:pPr>
        <w:pStyle w:val="Normal"/>
        <w:rPr>
          <w:i/>
          <w:i/>
          <w:iCs/>
        </w:rPr>
      </w:pPr>
      <w:r>
        <w:rPr>
          <w:i/>
          <w:iCs/>
        </w:rPr>
      </w:r>
    </w:p>
    <w:p>
      <w:pPr>
        <w:pStyle w:val="Normal"/>
        <w:rPr>
          <w:i/>
          <w:i/>
          <w:iCs/>
        </w:rPr>
      </w:pPr>
      <w:r>
        <w:rPr>
          <w:i/>
          <w:iCs/>
        </w:rPr>
      </w:r>
    </w:p>
    <w:p>
      <w:pPr>
        <w:pStyle w:val="Normal"/>
        <w:rPr>
          <w:i/>
          <w:i/>
          <w:iCs/>
        </w:rPr>
      </w:pPr>
      <w:r>
        <w:rPr>
          <w:i/>
          <w:iCs/>
        </w:rPr>
      </w:r>
      <w:r>
        <w:br w:type="page"/>
      </w:r>
    </w:p>
    <w:p>
      <w:pPr>
        <w:pStyle w:val="Heading2"/>
        <w:rPr/>
      </w:pPr>
      <w:bookmarkStart w:id="77" w:name="__RefHeading___Toc2796_900569203"/>
      <w:bookmarkEnd w:id="77"/>
      <w:r>
        <w:rPr/>
        <w:t>Module medaka.nf</w:t>
      </w:r>
    </w:p>
    <w:p>
      <w:pPr>
        <w:pStyle w:val="TextBody"/>
        <w:rPr>
          <w:i w:val="false"/>
          <w:i w:val="false"/>
          <w:iCs w:val="false"/>
        </w:rPr>
      </w:pPr>
      <w:r>
        <w:rPr>
          <w:i w:val="false"/>
          <w:iCs w:val="false"/>
        </w:rPr>
        <w:t>Base mustation caller for Nanopore data (SNPs, INDELS and SVs).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TextBody"/>
        <w:rPr>
          <w:i/>
          <w:i/>
          <w:iCs/>
        </w:rPr>
      </w:pPr>
      <w:r>
        <w:rPr/>
        <w:t>Medaka is a tool designed for consensus sequence generation and variant calling specifically tailored for Nanopore sequencing data. It works by leveraging a machine learning model to refine the draft consensus sequence generated by basecallers or assemblers, improving accuracy by detecting subtle errors. The process involves aligning reads to a draft reference sequence, followed by applying Medaka's neural network model to correct base-level errors and generate a highly accurate consensus sequence. This step is essential for reducing the inherent noise and systematic biases characteristic of Nanopore data.</w:t>
      </w:r>
    </w:p>
    <w:p>
      <w:pPr>
        <w:pStyle w:val="TextBody"/>
        <w:rPr>
          <w:i/>
          <w:i/>
          <w:iCs/>
        </w:rPr>
      </w:pPr>
      <w:r>
        <w:rPr/>
        <w:t>In addition to consensus polishing, Medaka provides functionality for mutation calling by comparing the polished sequence to a reference genome. It identifies single nucleotide variants (SNVs) and small insertions or deletions (indels) with high sensitivity and precision, ensuring reliable detection even for challenging regions. Medaka is particularly valuable in genomic studies requiring high-resolution variant detection, such as microbial genomics or cancer research, where the ability to handle complex datasets and generate high-quality results is crucial.</w:t>
      </w:r>
    </w:p>
    <w:p>
      <w:pPr>
        <w:pStyle w:val="Normal"/>
        <w:rPr>
          <w:i/>
          <w:i/>
          <w:iCs/>
        </w:rPr>
      </w:pPr>
      <w:r>
        <w:rPr>
          <w:i/>
          <w:iCs/>
        </w:rPr>
      </w:r>
      <w:r>
        <w:br w:type="page"/>
      </w:r>
    </w:p>
    <w:p>
      <w:pPr>
        <w:pStyle w:val="Heading2"/>
        <w:rPr/>
      </w:pPr>
      <w:bookmarkStart w:id="78" w:name="__RefHeading___Toc2798_900569203"/>
      <w:bookmarkEnd w:id="78"/>
      <w:r>
        <w:rPr/>
        <w:t>Module merging_nanopore.nf</w:t>
      </w:r>
    </w:p>
    <w:p>
      <w:pPr>
        <w:pStyle w:val="TextBody"/>
        <w:rPr>
          <w:i/>
          <w:i/>
          <w:iCs/>
        </w:rPr>
      </w:pPr>
      <w:r>
        <w:rPr/>
        <w:t>Helper module - only for Nanopore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t>Auxiliary module for merging filtering results of reads from other modules.</w:t>
      </w:r>
    </w:p>
    <w:p>
      <w:pPr>
        <w:pStyle w:val="Normal"/>
        <w:rPr>
          <w:i/>
          <w:i/>
          <w:iCs/>
        </w:rPr>
      </w:pPr>
      <w:r>
        <w:rPr>
          <w:i/>
          <w:iCs/>
        </w:rPr>
      </w:r>
    </w:p>
    <w:p>
      <w:pPr>
        <w:pStyle w:val="Codebox"/>
        <w:rPr>
          <w:i/>
          <w:i/>
          <w:iCs/>
        </w:rPr>
      </w:pPr>
      <w:r>
        <w:rPr/>
        <w:t xml:space="preserve">      </w:t>
      </w:r>
      <w:r>
        <w:rPr/>
        <w:t>samtools merge -o merged_initial.bam trimmed_first.bam trimmed_second.bam</w:t>
      </w:r>
    </w:p>
    <w:p>
      <w:pPr>
        <w:pStyle w:val="Codebox"/>
        <w:rPr>
          <w:i/>
          <w:i/>
          <w:iCs/>
        </w:rPr>
      </w:pPr>
      <w:r>
        <w:rPr/>
        <w:t xml:space="preserve">      </w:t>
      </w:r>
      <w:r>
        <w:rPr/>
        <w:t>samtools sort -@ ${task.cpus} -o merged.bam merged_initial.bam</w:t>
      </w:r>
    </w:p>
    <w:p>
      <w:pPr>
        <w:pStyle w:val="Codebox"/>
        <w:rPr>
          <w:i/>
          <w:i/>
          <w:iCs/>
        </w:rPr>
      </w:pPr>
      <w:r>
        <w:rPr/>
        <w:t xml:space="preserve">      </w:t>
      </w:r>
      <w:r>
        <w:rPr/>
        <w:t>samtools index merged.bam</w:t>
      </w:r>
      <w:r>
        <w:br w:type="page"/>
      </w:r>
    </w:p>
    <w:p>
      <w:pPr>
        <w:pStyle w:val="Heading2"/>
        <w:rPr/>
      </w:pPr>
      <w:bookmarkStart w:id="79" w:name="__RefHeading___Toc2800_900569203"/>
      <w:bookmarkEnd w:id="79"/>
      <w:r>
        <w:rPr/>
        <w:t>Module merging_one_segment_filtering.nf</w:t>
      </w:r>
    </w:p>
    <w:p>
      <w:pPr>
        <w:pStyle w:val="TextBody"/>
        <w:rPr>
          <w:i/>
          <w:i/>
          <w:iCs/>
        </w:rPr>
      </w:pPr>
      <w:r>
        <w:rPr/>
        <w:t>Helper module - only for Illumina SARS and RSV</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samtools merge -o clean_sort_dedup_trimmed_sort_tmp.bam ${filtering_bam} ${ivar_bam}</w:t>
        <w:br/>
        <w:t>samtools sort -@ ${task.cpus} -o clean_sort_dedup_trimmed_sort.bam clean_sort_dedup_trimmed_sort_tmp.bam</w:t>
        <w:br/>
        <w:t>samtools index clean_sort_dedup_trimmed_sort.bam</w:t>
      </w:r>
      <w:r>
        <w:br w:type="page"/>
      </w:r>
    </w:p>
    <w:p>
      <w:pPr>
        <w:pStyle w:val="Heading2"/>
        <w:rPr/>
      </w:pPr>
      <w:bookmarkStart w:id="80" w:name="__RefHeading___Toc2802_900569203"/>
      <w:bookmarkEnd w:id="80"/>
      <w:r>
        <w:rPr/>
        <w:t>Module minimap2.nf</w:t>
      </w:r>
    </w:p>
    <w:p>
      <w:pPr>
        <w:pStyle w:val="TextBody"/>
        <w:rPr>
          <w:i/>
          <w:i/>
          <w:iCs/>
        </w:rPr>
      </w:pPr>
      <w:r>
        <w:rPr/>
        <w:t xml:space="preserve">Main </w:t>
      </w:r>
      <w:r>
        <w:rPr/>
        <w:t>map</w:t>
      </w:r>
      <w:r>
        <w:rPr/>
        <w:t>p</w:t>
      </w:r>
      <w:r>
        <w:rPr/>
        <w:t>in</w:t>
      </w:r>
      <w:r>
        <w:rPr/>
        <w:t>g</w:t>
      </w:r>
      <w:r>
        <w:rPr/>
        <w:t xml:space="preserve"> utility for Nanopore</w:t>
      </w:r>
      <w:r>
        <w:rPr/>
        <w:t>.</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 xml:space="preserve">number of mapped reads is lower than threshold defined in parameter </w:t>
            </w:r>
            <w:r>
              <w:rPr>
                <w:rStyle w:val="Code"/>
              </w:rPr>
              <w:t>${params.min_number_of_reads}</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18"/>
              </w:numPr>
              <w:rPr/>
            </w:pPr>
            <w:r>
              <w:rPr>
                <w:rStyle w:val="Code"/>
                <w:rFonts w:ascii="DejaVu Sans Mono" w:hAnsi="DejaVu Sans Mono"/>
              </w:rPr>
              <w:t>"viral_mapping_data": {}</w:t>
            </w:r>
          </w:p>
        </w:tc>
      </w:tr>
    </w:tbl>
    <w:p>
      <w:pPr>
        <w:pStyle w:val="Normal"/>
        <w:rPr>
          <w:i/>
          <w:i/>
          <w:iCs/>
        </w:rPr>
      </w:pPr>
      <w:r>
        <w:rPr>
          <w:i/>
          <w:iCs/>
        </w:rPr>
      </w:r>
    </w:p>
    <w:p>
      <w:pPr>
        <w:pStyle w:val="Codebox"/>
        <w:rPr>
          <w:i/>
          <w:i/>
          <w:iCs/>
        </w:rPr>
      </w:pPr>
      <w:r>
        <w:rPr/>
        <w:t>minimap2 -a -x map-ont -t ${params.threads} -o tmp.sam ref_genome.fasta ${reads}</w:t>
        <w:br/>
        <w:t>samtools view -@ ${params.threads} -Sb -F 2052 tmp.sam | \</w:t>
        <w:br/>
        <w:t>samtools sort -@ ${params.threads} -o mapped_reads.bam -</w:t>
        <w:br/>
        <w:t>samtools index mapped_reads.bam</w:t>
        <w:br/>
        <w:t>rm tmp.sam</w:t>
        <w:br/>
        <w:t>NO_READS=`samtools view mapped_reads.bam | wc -l`</w:t>
      </w:r>
    </w:p>
    <w:p>
      <w:pPr>
        <w:pStyle w:val="Normal"/>
        <w:rPr>
          <w:i/>
          <w:i/>
          <w:iCs/>
        </w:rPr>
      </w:pPr>
      <w:r>
        <w:rPr>
          <w:i/>
          <w:iCs/>
        </w:rPr>
      </w:r>
    </w:p>
    <w:p>
      <w:pPr>
        <w:pStyle w:val="Normal"/>
        <w:rPr>
          <w:i/>
          <w:i/>
          <w:iCs/>
        </w:rPr>
      </w:pPr>
      <w:r>
        <w:rPr>
          <w:i/>
          <w:iCs/>
        </w:rPr>
      </w:r>
      <w:r>
        <w:br w:type="page"/>
      </w:r>
    </w:p>
    <w:p>
      <w:pPr>
        <w:pStyle w:val="Heading2"/>
        <w:rPr/>
      </w:pPr>
      <w:bookmarkStart w:id="81" w:name="__RefHeading___Toc2804_900569203"/>
      <w:bookmarkEnd w:id="81"/>
      <w:r>
        <w:rPr/>
        <w:t>Module nextalign.nf</w:t>
      </w:r>
    </w:p>
    <w:p>
      <w:pPr>
        <w:pStyle w:val="TextBody"/>
        <w:rPr>
          <w:i/>
          <w:i/>
          <w:iCs/>
        </w:rPr>
      </w:pPr>
      <w:r>
        <w:rPr/>
        <w:t>Predict all aminoacid sequences of all proteins in predicted viral genome.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Heading3"/>
        <w:rPr>
          <w:i/>
          <w:i/>
          <w:iCs/>
        </w:rPr>
      </w:pPr>
      <w:r>
        <w:rPr/>
        <w:t>SARS-CoV-2</w:t>
      </w:r>
    </w:p>
    <w:p>
      <w:pPr>
        <w:pStyle w:val="Codebox"/>
        <w:rPr>
          <w:i/>
          <w:i/>
          <w:iCs/>
        </w:rPr>
      </w:pPr>
      <w:r>
        <w:rPr/>
        <w:t>nextalign run -r /home/data/common/nextalign/MN908947.3/sequences.fa \</w:t>
      </w:r>
    </w:p>
    <w:p>
      <w:pPr>
        <w:pStyle w:val="Codebox"/>
        <w:rPr>
          <w:i/>
          <w:i/>
          <w:iCs/>
        </w:rPr>
      </w:pPr>
      <w:r>
        <w:rPr/>
        <w:t xml:space="preserve">                      </w:t>
      </w:r>
      <w:r>
        <w:rPr/>
        <w:t>-m /home/data/common/nextalign/MN908947.3/genes.gff3 \</w:t>
      </w:r>
    </w:p>
    <w:p>
      <w:pPr>
        <w:pStyle w:val="Codebox"/>
        <w:rPr>
          <w:i/>
          <w:i/>
          <w:iCs/>
        </w:rPr>
      </w:pPr>
      <w:r>
        <w:rPr/>
        <w:t xml:space="preserve">                      </w:t>
      </w:r>
      <w:r>
        <w:rPr/>
        <w:t>-g "E,M,N,ORF10,orf1a,orf1b,ORF3a,ORF6,ORF7a,ORF8,S" \</w:t>
      </w:r>
    </w:p>
    <w:p>
      <w:pPr>
        <w:pStyle w:val="Codebox"/>
        <w:rPr>
          <w:i/>
          <w:i/>
          <w:iCs/>
        </w:rPr>
      </w:pPr>
      <w:r>
        <w:rPr/>
        <w:t xml:space="preserve">                      </w:t>
      </w:r>
      <w:r>
        <w:rPr/>
        <w:t>-O . \</w:t>
      </w:r>
    </w:p>
    <w:p>
      <w:pPr>
        <w:pStyle w:val="Codebox"/>
        <w:rPr>
          <w:i/>
          <w:i/>
          <w:iCs/>
        </w:rPr>
      </w:pPr>
      <w:r>
        <w:rPr/>
        <w:t xml:space="preserve">                      </w:t>
      </w:r>
      <w:r>
        <w:rPr/>
        <w:t>output_consensus_masked_SV.fa</w:t>
      </w:r>
    </w:p>
    <w:p>
      <w:pPr>
        <w:pStyle w:val="Heading3"/>
        <w:rPr>
          <w:i/>
          <w:i/>
          <w:iCs/>
        </w:rPr>
      </w:pPr>
      <w:r>
        <w:rPr/>
        <w:t>RSV</w:t>
      </w:r>
    </w:p>
    <w:p>
      <w:pPr>
        <w:pStyle w:val="Codebox"/>
        <w:rPr>
          <w:i/>
          <w:i/>
          <w:iCs/>
        </w:rPr>
      </w:pPr>
      <w:r>
        <w:rPr/>
        <w:t>nextalign run -r /home/data/common/nextalign/hRSV_${SAMPLE_SUBTYPE}/sequences.fa \</w:t>
        <w:br/>
        <w:t xml:space="preserve">              -m /home/data/common/nextalign/hRSV_${SAMPLE_SUBTYPE}/genes.gff3 \</w:t>
        <w:br/>
        <w:t xml:space="preserve">              -g "NS1,NS2,N,P,M,SH,G,F,M2,M2,L" \</w:t>
        <w:br/>
        <w:t xml:space="preserve">              -O . \</w:t>
        <w:br/>
        <w:t xml:space="preserve">              output_consensus_masked_SV.fa</w:t>
      </w:r>
    </w:p>
    <w:p>
      <w:pPr>
        <w:pStyle w:val="Normal"/>
        <w:rPr>
          <w:i/>
          <w:i/>
          <w:iCs/>
        </w:rPr>
      </w:pPr>
      <w:r>
        <w:rPr/>
      </w:r>
    </w:p>
    <w:p>
      <w:pPr>
        <w:pStyle w:val="Heading3"/>
        <w:rPr>
          <w:i/>
          <w:i/>
          <w:iCs/>
        </w:rPr>
      </w:pPr>
      <w:r>
        <w:rPr/>
        <w:t>Influenza</w:t>
      </w:r>
    </w:p>
    <w:p>
      <w:pPr>
        <w:pStyle w:val="Codebox"/>
        <w:rPr>
          <w:i/>
          <w:i/>
          <w:iCs/>
        </w:rPr>
      </w:pPr>
      <w:r>
        <w:rPr/>
        <w:t>nextalign run -r \${NEXTALIGN_DB}/${SAMPLE_SUBTYPE}/\${SEGMENT}.fasta \</w:t>
        <w:br/>
        <w:t xml:space="preserve">              -m \${NEXTALIGN_DB}/${SAMPLE_SUBTYPE}/${SAMPLE_SUBTYPE}.gff \</w:t>
        <w:br/>
        <w:t xml:space="preserve">              -g \${SEGMENT} \</w:t>
        <w:br/>
        <w:t xml:space="preserve">              -O . \${FILE}</w:t>
      </w:r>
    </w:p>
    <w:p>
      <w:pPr>
        <w:pStyle w:val="Codebox"/>
        <w:rPr>
          <w:i/>
          <w:i/>
          <w:iCs/>
        </w:rPr>
      </w:pPr>
      <w:r>
        <w:rPr/>
      </w:r>
    </w:p>
    <w:p>
      <w:pPr>
        <w:pStyle w:val="Normal"/>
        <w:rPr>
          <w:i/>
          <w:i/>
          <w:iCs/>
        </w:rPr>
      </w:pPr>
      <w:r>
        <w:rPr/>
      </w:r>
    </w:p>
    <w:p>
      <w:pPr>
        <w:pStyle w:val="Normal"/>
        <w:rPr>
          <w:i/>
          <w:i/>
          <w:iCs/>
        </w:rPr>
      </w:pPr>
      <w:r>
        <w:rPr/>
        <w:t>and for MP protein</w:t>
      </w:r>
    </w:p>
    <w:p>
      <w:pPr>
        <w:pStyle w:val="Normal"/>
        <w:rPr>
          <w:i/>
          <w:i/>
          <w:iCs/>
        </w:rPr>
      </w:pPr>
      <w:r>
        <w:rPr/>
      </w:r>
    </w:p>
    <w:p>
      <w:pPr>
        <w:pStyle w:val="Codebox"/>
        <w:rPr>
          <w:i/>
          <w:i/>
          <w:iCs/>
        </w:rPr>
      </w:pPr>
      <w:r>
        <w:rPr/>
        <w:t xml:space="preserve"> </w:t>
      </w:r>
      <w:r>
        <w:rPr/>
        <w:t>sed -i s"/chr7_MP_SV/MP/"g consensus_MP.fasta</w:t>
        <w:br/>
        <w:t xml:space="preserve"> sed -i s"/chr7_MP/MP/"g consensus_MP.fasta</w:t>
        <w:br/>
        <w:t xml:space="preserve"> prep_M2.py ${SAMPLE_SUBTYPE} sample_M2.fasta \${NEXTALIGN_DB} . .</w:t>
        <w:br/>
        <w:t xml:space="preserve"> nextalign run -r M2.fasta \</w:t>
        <w:br/>
        <w:t xml:space="preserve">               -m \${NEXTALIGN_DB}/${SAMPLE_SUBTYPE}/${SAMPLE_SUBTYPE}.gff \</w:t>
        <w:br/>
        <w:t xml:space="preserve">               -g M2 \</w:t>
        <w:br/>
        <w:t xml:space="preserve">               -O . consensus_M2.fasta</w:t>
        <w:br/>
        <w:t>cp nextalign_gene_M2.translation.fasta sample_M2.fasta</w:t>
      </w:r>
    </w:p>
    <w:p>
      <w:pPr>
        <w:pStyle w:val="Normal"/>
        <w:rPr>
          <w:i/>
          <w:i/>
          <w:iCs/>
        </w:rPr>
      </w:pPr>
      <w:r>
        <w:rPr/>
      </w:r>
      <w:r>
        <w:br w:type="page"/>
      </w:r>
    </w:p>
    <w:p>
      <w:pPr>
        <w:pStyle w:val="Heading2"/>
        <w:rPr/>
      </w:pPr>
      <w:bookmarkStart w:id="82" w:name="__RefHeading___Toc2806_900569203"/>
      <w:bookmarkEnd w:id="82"/>
      <w:r>
        <w:rPr/>
        <w:t>Module nextclade.nf</w:t>
      </w:r>
    </w:p>
    <w:p>
      <w:pPr>
        <w:pStyle w:val="TextBody"/>
        <w:rPr>
          <w:i/>
          <w:i/>
          <w:iCs/>
        </w:rPr>
      </w:pPr>
      <w:r>
        <w:rPr/>
        <w:t>Nextclade is module for determination evolutionary lineage.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 xml:space="preserve">   </w:t>
      </w:r>
      <w:r>
        <w:rPr/>
        <w:t>nextclade run --input-dataset /home/external_databases/nextclade_db/sars-cov-2.zip \</w:t>
        <w:br/>
        <w:t xml:space="preserve">              --output-csv nextstrain_lineage.csv \</w:t>
        <w:br/>
        <w:t xml:space="preserve">              --output-all nextclade_lineages \</w:t>
        <w:br/>
        <w:t xml:space="preserve">              ${consensus_masked_sv_fa}</w:t>
      </w:r>
    </w:p>
    <w:p>
      <w:pPr>
        <w:pStyle w:val="Normal"/>
        <w:rPr>
          <w:i/>
          <w:i/>
          <w:iCs/>
        </w:rPr>
      </w:pPr>
      <w:r>
        <w:rPr/>
      </w:r>
    </w:p>
    <w:p>
      <w:pPr>
        <w:pStyle w:val="Normal"/>
        <w:rPr>
          <w:i/>
          <w:i/>
          <w:iCs/>
        </w:rPr>
      </w:pPr>
      <w:r>
        <w:rPr/>
        <w:t>After obtaining the genome sequence of the sampled individual, each of the variants (individual sequences from each program as well as the consensus) is analyzed for classification into specific variants. For this purpose, we use the pango and nextclade programs. Their invocation does not require special arguments, as their configuration is done at the container creation level.</w:t>
        <w:br/>
      </w:r>
    </w:p>
    <w:p>
      <w:pPr>
        <w:pStyle w:val="Normal"/>
        <w:rPr>
          <w:i/>
          <w:i/>
          <w:iCs/>
        </w:rPr>
      </w:pPr>
      <w:r>
        <w:rPr/>
      </w:r>
      <w:r>
        <w:br w:type="page"/>
      </w:r>
    </w:p>
    <w:p>
      <w:pPr>
        <w:pStyle w:val="Heading2"/>
        <w:rPr/>
      </w:pPr>
      <w:bookmarkStart w:id="83" w:name="__RefHeading___Toc2808_900569203"/>
      <w:bookmarkEnd w:id="83"/>
      <w:r>
        <w:rPr/>
        <w:t>Module pangolin.nf</w:t>
      </w:r>
    </w:p>
    <w:p>
      <w:pPr>
        <w:pStyle w:val="TextBody"/>
        <w:rPr>
          <w:i/>
          <w:i/>
          <w:iCs/>
        </w:rPr>
      </w:pPr>
      <w:r>
        <w:rPr/>
        <w:t>Pangolin is module for determination evolutionary lineage.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19"/>
              </w:numPr>
              <w:rPr/>
            </w:pPr>
            <w:r>
              <w:rPr>
                <w:rStyle w:val="Code"/>
                <w:rFonts w:ascii="DejaVu Sans Mono" w:hAnsi="DejaVu Sans Mono"/>
              </w:rPr>
              <w:t>"viral_classification_data": []</w:t>
            </w:r>
          </w:p>
        </w:tc>
      </w:tr>
    </w:tbl>
    <w:p>
      <w:pPr>
        <w:pStyle w:val="Normal"/>
        <w:rPr>
          <w:i/>
          <w:i/>
          <w:iCs/>
        </w:rPr>
      </w:pPr>
      <w:r>
        <w:rPr/>
      </w:r>
    </w:p>
    <w:p>
      <w:pPr>
        <w:pStyle w:val="Codebox"/>
        <w:rPr>
          <w:i/>
          <w:i/>
          <w:iCs/>
        </w:rPr>
      </w:pPr>
      <w:r>
        <w:rPr/>
        <w:t>pangolin --outfile pangolin_lineage.csv \</w:t>
        <w:br/>
        <w:t xml:space="preserve">       --threads ${task.cpus} \</w:t>
        <w:br/>
        <w:t xml:space="preserve">       output_consensus_masked_SV.fa</w:t>
        <w:br/>
        <w:t>parse_pangolin_output_csv2json.py pangolin_lineage.csv pangolin_sars.json</w:t>
        <w:br/>
        <w:t>jq -s "." pangolin_sars.json &gt; pangolin.json</w:t>
      </w:r>
    </w:p>
    <w:p>
      <w:pPr>
        <w:pStyle w:val="Normal"/>
        <w:rPr>
          <w:i/>
          <w:i/>
          <w:iCs/>
        </w:rPr>
      </w:pPr>
      <w:r>
        <w:rPr/>
      </w:r>
    </w:p>
    <w:p>
      <w:pPr>
        <w:pStyle w:val="Normal"/>
        <w:rPr>
          <w:i/>
          <w:i/>
          <w:iCs/>
        </w:rPr>
      </w:pPr>
      <w:r>
        <w:rPr/>
        <w:t>This module is part of all pipelines, although it is actually run only for SARS. This is a remnant from the time when the concept of a single unified pipeline for all organisms was being considered.</w:t>
      </w:r>
      <w:r>
        <w:br w:type="page"/>
      </w:r>
    </w:p>
    <w:p>
      <w:pPr>
        <w:pStyle w:val="Heading2"/>
        <w:rPr/>
      </w:pPr>
      <w:bookmarkStart w:id="84" w:name="__RefHeading___Toc2810_900569203"/>
      <w:bookmarkEnd w:id="84"/>
      <w:r>
        <w:rPr/>
        <w:t>Module picard.nf</w:t>
      </w:r>
    </w:p>
    <w:p>
      <w:pPr>
        <w:pStyle w:val="TextBody"/>
        <w:rPr>
          <w:i/>
          <w:i/>
          <w:iCs/>
        </w:rPr>
      </w:pPr>
      <w:r>
        <w:rPr/>
        <w:t>Down-sampling module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t>SARS i RSV</w:t>
            </w:r>
          </w:p>
          <w:p>
            <w:pPr>
              <w:pStyle w:val="TableContents"/>
              <w:widowControl w:val="false"/>
              <w:numPr>
                <w:ilvl w:val="0"/>
                <w:numId w:val="20"/>
              </w:numPr>
              <w:jc w:val="left"/>
              <w:rPr/>
            </w:pPr>
            <w:r>
              <w:rPr/>
              <w:t>Number of Reads lower than hardcoded threshold at level 10'000 of reads</w:t>
            </w:r>
          </w:p>
          <w:p>
            <w:pPr>
              <w:pStyle w:val="TableContents"/>
              <w:widowControl w:val="false"/>
              <w:jc w:val="left"/>
              <w:rPr/>
            </w:pPr>
            <w:r>
              <w:rPr/>
              <w:t>INFL</w:t>
            </w:r>
          </w:p>
          <w:p>
            <w:pPr>
              <w:pStyle w:val="TableContents"/>
              <w:widowControl w:val="false"/>
              <w:numPr>
                <w:ilvl w:val="0"/>
                <w:numId w:val="21"/>
              </w:numPr>
              <w:jc w:val="left"/>
              <w:rPr/>
            </w:pPr>
            <w:r>
              <w:rPr/>
              <w:t>The median coverage of the segment is less than the hardcoded value of 50.</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java -jar /opt/picard/picard.jar PositionBasedDownsampleSam \</w:t>
        <w:br/>
        <w:t xml:space="preserve">                                --INPUT ${bam} \</w:t>
        <w:br/>
        <w:t xml:space="preserve">                                --OUTPUT downsample.bam -F \${NORM}</w:t>
      </w:r>
    </w:p>
    <w:p>
      <w:pPr>
        <w:pStyle w:val="Normal"/>
        <w:rPr>
          <w:i/>
          <w:i/>
          <w:iCs/>
        </w:rPr>
      </w:pPr>
      <w:r>
        <w:rPr>
          <w:i/>
          <w:iCs/>
        </w:rPr>
      </w:r>
    </w:p>
    <w:p>
      <w:pPr>
        <w:pStyle w:val="Normal"/>
        <w:rPr>
          <w:i/>
          <w:i/>
          <w:iCs/>
        </w:rPr>
      </w:pPr>
      <w:r>
        <w:rPr>
          <w:i/>
          <w:iCs/>
        </w:rPr>
      </w:r>
      <w:r>
        <w:br w:type="page"/>
      </w:r>
    </w:p>
    <w:p>
      <w:pPr>
        <w:pStyle w:val="Heading2"/>
        <w:rPr/>
      </w:pPr>
      <w:bookmarkStart w:id="85" w:name="__RefHeading___Toc2812_900569203"/>
      <w:bookmarkEnd w:id="85"/>
      <w:r>
        <w:rPr/>
        <w:t>Module picard_wgsMetrics.nf</w:t>
      </w:r>
    </w:p>
    <w:p>
      <w:pPr>
        <w:pStyle w:val="TextBody"/>
        <w:rPr>
          <w:i/>
          <w:i/>
          <w:iCs/>
        </w:rPr>
      </w:pPr>
      <w:r>
        <w:rPr/>
        <w:t>This module collects some standard metrics from WGS and and expose them as JSON file.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0"/>
              </w:numPr>
              <w:ind w:left="720" w:hanging="0"/>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22"/>
              </w:numPr>
              <w:rPr/>
            </w:pPr>
            <w:r>
              <w:rPr>
                <w:rStyle w:val="Code"/>
                <w:rFonts w:ascii="DejaVu Sans Mono" w:hAnsi="DejaVu Sans Mono"/>
              </w:rPr>
              <w:t>"viral_genome_data": {}</w:t>
            </w:r>
          </w:p>
        </w:tc>
      </w:tr>
    </w:tbl>
    <w:p>
      <w:pPr>
        <w:pStyle w:val="Normal"/>
        <w:rPr>
          <w:i/>
          <w:i/>
          <w:iCs/>
        </w:rPr>
      </w:pPr>
      <w:r>
        <w:rPr>
          <w:i/>
          <w:iCs/>
        </w:rPr>
      </w:r>
    </w:p>
    <w:p>
      <w:pPr>
        <w:pStyle w:val="Codebox"/>
        <w:rPr>
          <w:i/>
          <w:i/>
          <w:iCs/>
        </w:rPr>
      </w:pPr>
      <w:r>
        <w:rPr/>
        <w:t>if [ ${params.machine} == 'Illumina' ]; then</w:t>
        <w:br/>
        <w:t xml:space="preserve">  java -jar /opt/picard/picard.jar CollectWgsMetrics --REFERENCE_SEQUENCE ${ref_genome} \</w:t>
        <w:br/>
        <w:t xml:space="preserve">                                                    --MINIMUM_BASE_QUALITY ${params.quality_initial} \</w:t>
        <w:br/>
        <w:t xml:space="preserve">                                                    --MINIMUM_MAPPING_QUALITY ${params.min_mapq} \</w:t>
        <w:br/>
        <w:t xml:space="preserve">                                                    --INPUT ${bam} \</w:t>
        <w:br/>
        <w:t xml:space="preserve">                                                    --OUTPUT picard_statistics.txt</w:t>
        <w:br/>
        <w:t>elif [ ${params.machine} == 'Nanopore' ]; then</w:t>
        <w:br/>
        <w:br/>
        <w:t xml:space="preserve">  java -jar /opt/picard/picard.jar CollectWgsMetrics --REFERENCE_SEQUENCE ${ref_genome} \</w:t>
        <w:br/>
        <w:t xml:space="preserve">                                                      --MINIMUM_BASE_QUALITY ${params.quality_initial} \</w:t>
        <w:br/>
        <w:t xml:space="preserve">                                                      --MINIMUM_MAPPING_QUALITY ${params.min_mapq} \</w:t>
        <w:br/>
        <w:t xml:space="preserve">                                                      --INPUT ${bam} \</w:t>
        <w:br/>
        <w:t xml:space="preserve">                                                      --COUNT_UNPAIRED TRUE \</w:t>
        <w:br/>
        <w:t xml:space="preserve">                                                      --OUTPUT picard_statistics.txt</w:t>
        <w:br/>
        <w:t xml:space="preserve"> fi</w:t>
      </w:r>
    </w:p>
    <w:p>
      <w:pPr>
        <w:pStyle w:val="Codebox"/>
        <w:rPr>
          <w:i/>
          <w:i/>
          <w:iCs/>
        </w:rPr>
      </w:pPr>
      <w:r>
        <w:rPr/>
      </w:r>
    </w:p>
    <w:p>
      <w:pPr>
        <w:pStyle w:val="Codebox"/>
        <w:rPr>
          <w:i/>
          <w:i/>
          <w:iCs/>
        </w:rPr>
      </w:pPr>
      <w:r>
        <w:rPr/>
        <w:t>(...)</w:t>
      </w:r>
    </w:p>
    <w:p>
      <w:pPr>
        <w:pStyle w:val="Codebox"/>
        <w:rPr>
          <w:i/>
          <w:i/>
          <w:iCs/>
        </w:rPr>
      </w:pPr>
      <w:r>
        <w:rPr/>
      </w:r>
    </w:p>
    <w:p>
      <w:pPr>
        <w:pStyle w:val="Codebox"/>
        <w:rPr>
          <w:i/>
          <w:i/>
          <w:iCs/>
        </w:rPr>
      </w:pPr>
      <w:r>
        <w:rPr/>
        <w:t>picard_parser.py --input_file_picard picard_statistics.txt \</w:t>
        <w:br/>
        <w:t xml:space="preserve">                --input_file_primers Primer_usage.txt \</w:t>
        <w:br/>
        <w:t xml:space="preserve">                --input_file_bedgraph \${summary_coverage_file} \</w:t>
        <w:br/>
        <w:t xml:space="preserve">                --output_path "${params.results_dir}/${sampleId}/" \</w:t>
        <w:br/>
        <w:t xml:space="preserve">                --status "tak" \</w:t>
        <w:br/>
        <w:t xml:space="preserve">                --output viral_genome_data.json</w:t>
      </w:r>
    </w:p>
    <w:p>
      <w:pPr>
        <w:pStyle w:val="Codebox"/>
        <w:rPr>
          <w:i/>
          <w:i/>
          <w:iCs/>
        </w:rPr>
      </w:pPr>
      <w:r>
        <w:rPr/>
      </w:r>
      <w:r>
        <w:br w:type="page"/>
      </w:r>
    </w:p>
    <w:p>
      <w:pPr>
        <w:pStyle w:val="Heading2"/>
        <w:rPr/>
      </w:pPr>
      <w:bookmarkStart w:id="86" w:name="__RefHeading___Toc2814_900569203"/>
      <w:bookmarkEnd w:id="86"/>
      <w:r>
        <w:rPr/>
        <w:t>Module reassortment.nf</w:t>
      </w:r>
    </w:p>
    <w:p>
      <w:pPr>
        <w:pStyle w:val="TextBody"/>
        <w:rPr>
          <w:i/>
          <w:i/>
          <w:iCs/>
        </w:rPr>
      </w:pPr>
      <w:r>
        <w:rPr/>
        <w:t>The module creates a reference genome for a given sample.</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INFL</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INFL</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23"/>
              </w:numPr>
              <w:rPr/>
            </w:pPr>
            <w:r>
              <w:rPr>
                <w:rStyle w:val="Code"/>
                <w:rFonts w:ascii="DejaVu Sans Mono" w:hAnsi="DejaVu Sans Mono"/>
              </w:rPr>
              <w:t>"infl_data": {}</w:t>
            </w:r>
          </w:p>
        </w:tc>
      </w:tr>
    </w:tbl>
    <w:p>
      <w:pPr>
        <w:pStyle w:val="Normal"/>
        <w:rPr>
          <w:i/>
          <w:i/>
          <w:iCs/>
        </w:rPr>
      </w:pPr>
      <w:r>
        <w:rPr>
          <w:i/>
          <w:iCs/>
        </w:rPr>
      </w:r>
    </w:p>
    <w:p>
      <w:pPr>
        <w:pStyle w:val="Normal"/>
        <w:rPr>
          <w:i/>
          <w:i/>
          <w:iCs/>
        </w:rPr>
      </w:pPr>
      <w:r>
        <w:rPr/>
        <w:t>We start by selecting the HX NY subtypes, then we examine the mapping matrix for each of the subtypes. If the mapping score is below 0.7 and the sequence of the segment with a better score than your sequence (meaning the sequences are indeed different), we consider it to be a better sequence for the mappings (and an indication that it is actually reassortment). The score comes from the Needleman-Wunsch algorithm.</w:t>
      </w:r>
      <w:r>
        <w:br w:type="page"/>
      </w:r>
    </w:p>
    <w:p>
      <w:pPr>
        <w:pStyle w:val="Heading2"/>
        <w:rPr/>
      </w:pPr>
      <w:bookmarkStart w:id="87" w:name="__RefHeading___Toc2816_900569203"/>
      <w:bookmarkEnd w:id="87"/>
      <w:r>
        <w:rPr/>
        <w:t>Module resistance.nf</w:t>
      </w:r>
    </w:p>
    <w:p>
      <w:pPr>
        <w:pStyle w:val="TextBody"/>
        <w:rPr>
          <w:i/>
          <w:i/>
          <w:iCs/>
        </w:rPr>
      </w:pPr>
      <w:r>
        <w:rPr/>
        <w:t>The module predicts drug resistance for influenza strains.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INFL</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INFL</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23"/>
              </w:numPr>
              <w:rPr/>
            </w:pPr>
            <w:r>
              <w:rPr>
                <w:rStyle w:val="Code"/>
                <w:rFonts w:ascii="DejaVu Sans Mono" w:hAnsi="DejaVu Sans Mono"/>
              </w:rPr>
              <w:t>"infl_data": {}</w:t>
            </w:r>
          </w:p>
        </w:tc>
      </w:tr>
    </w:tbl>
    <w:p>
      <w:pPr>
        <w:pStyle w:val="Normal"/>
        <w:rPr>
          <w:i/>
          <w:i/>
          <w:iCs/>
        </w:rPr>
      </w:pPr>
      <w:r>
        <w:rPr>
          <w:i/>
          <w:iCs/>
        </w:rPr>
      </w:r>
    </w:p>
    <w:p>
      <w:pPr>
        <w:pStyle w:val="Normal"/>
        <w:rPr>
          <w:i/>
          <w:i/>
          <w:iCs/>
        </w:rPr>
      </w:pPr>
      <w:r>
        <w:rPr/>
        <w:t>There is a WHO PDF document listing mutations and drugs.</w:t>
      </w:r>
    </w:p>
    <w:p>
      <w:pPr>
        <w:pStyle w:val="Normal"/>
        <w:rPr>
          <w:i/>
          <w:i/>
          <w:iCs/>
        </w:rPr>
      </w:pPr>
      <w:r>
        <w:rPr/>
      </w:r>
    </w:p>
    <w:p>
      <w:pPr>
        <w:pStyle w:val="Normal"/>
        <w:numPr>
          <w:ilvl w:val="0"/>
          <w:numId w:val="24"/>
        </w:numPr>
        <w:rPr/>
      </w:pPr>
      <w:hyperlink r:id="rId32">
        <w:r>
          <w:rPr>
            <w:rStyle w:val="InternetLink"/>
          </w:rPr>
          <w:t>https://www.who.int/publications/m/item/summary-of-neuraminidase-(na)-amino-acid-substitutions-associated-with-reduced-inhibition-by-neuraminidase-inhibitors-(nais)</w:t>
        </w:r>
      </w:hyperlink>
    </w:p>
    <w:p>
      <w:pPr>
        <w:pStyle w:val="Normal"/>
        <w:numPr>
          <w:ilvl w:val="0"/>
          <w:numId w:val="24"/>
        </w:numPr>
        <w:rPr/>
      </w:pPr>
      <w:hyperlink r:id="rId33">
        <w:r>
          <w:rPr>
            <w:rStyle w:val="InternetLink"/>
          </w:rPr>
          <w:t>https://www.who.int/publications/m/item/summary-of-polymerase-acidic-(pa)-protein-amino-acid-substitutions-analysed-for-their-effects-on-baloxavir-susceptibility</w:t>
        </w:r>
      </w:hyperlink>
    </w:p>
    <w:p>
      <w:pPr>
        <w:pStyle w:val="Normal"/>
        <w:rPr>
          <w:i/>
          <w:i/>
          <w:iCs/>
        </w:rPr>
      </w:pPr>
      <w:r>
        <w:rPr/>
        <w:t>The table has been manually parsed and is used for comparison with the sequence obtained from the reassortment module.</w:t>
      </w:r>
      <w:r>
        <w:br w:type="page"/>
      </w:r>
    </w:p>
    <w:p>
      <w:pPr>
        <w:pStyle w:val="Heading2"/>
        <w:rPr/>
      </w:pPr>
      <w:bookmarkStart w:id="88" w:name="__RefHeading___Toc2818_900569203"/>
      <w:bookmarkEnd w:id="88"/>
      <w:r>
        <w:rPr/>
        <w:t>Module snpEff.nf</w:t>
      </w:r>
    </w:p>
    <w:p>
      <w:pPr>
        <w:pStyle w:val="TextBody"/>
        <w:rPr>
          <w:i/>
          <w:i/>
          <w:iCs/>
        </w:rPr>
      </w:pPr>
      <w:r>
        <w:rPr/>
        <w:t xml:space="preserve">Predicts </w:t>
      </w:r>
      <w:r>
        <w:rPr/>
        <w:t>f</w:t>
      </w:r>
      <w:r>
        <w:rPr/>
        <w:t>enotypic effects of a mutation.</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 xml:space="preserve">    </w:t>
      </w:r>
      <w:r>
        <w:rPr/>
        <w:t>java -jar /opt/snpEff/snpEff.jar ann -noStats ${params.ref_genome_id} \</w:t>
        <w:br/>
        <w:t xml:space="preserve">         ${consensus_vcf_gz} &gt; detected_variants_consensus_annotated.vcf</w:t>
      </w:r>
    </w:p>
    <w:p>
      <w:pPr>
        <w:pStyle w:val="Normal"/>
        <w:rPr>
          <w:i/>
          <w:i/>
          <w:iCs/>
        </w:rPr>
      </w:pPr>
      <w:r>
        <w:rPr/>
      </w:r>
    </w:p>
    <w:p>
      <w:pPr>
        <w:pStyle w:val="Normal"/>
        <w:rPr>
          <w:i/>
          <w:i/>
          <w:iCs/>
        </w:rPr>
      </w:pPr>
      <w:r>
        <w:rPr/>
        <w:t>The analysis was conducted using the snpEFF program. The only required input, besides specifying the genome name present</w:t>
      </w:r>
      <w:r>
        <w:rPr/>
        <w:t xml:space="preserve"> </w:t>
      </w:r>
      <w:r>
        <w:rPr/>
        <w:t>in the database, is a VCF file containing mutations. This file is then parsed into a text file using bcftools. At this</w:t>
      </w:r>
      <w:r>
        <w:rPr/>
        <w:t xml:space="preserve"> </w:t>
      </w:r>
      <w:r>
        <w:rPr/>
        <w:t>stage, a consensus VCF file is created. Note that this file is only used for functional analysis, not for creating the</w:t>
      </w:r>
      <w:r>
        <w:rPr/>
        <w:t xml:space="preserve"> </w:t>
      </w:r>
      <w:r>
        <w:rPr/>
        <w:t>genome sequence.</w:t>
      </w:r>
    </w:p>
    <w:p>
      <w:pPr>
        <w:pStyle w:val="Normal"/>
        <w:rPr>
          <w:i/>
          <w:i/>
          <w:iCs/>
        </w:rPr>
      </w:pPr>
      <w:r>
        <w:rPr/>
      </w:r>
    </w:p>
    <w:p>
      <w:pPr>
        <w:pStyle w:val="Codebox"/>
        <w:rPr>
          <w:i/>
          <w:i/>
          <w:iCs/>
        </w:rPr>
      </w:pPr>
      <w:r>
        <w:rPr/>
        <w:t xml:space="preserve">    </w:t>
      </w:r>
      <w:r>
        <w:rPr/>
        <w:t>bcftools query --format '%REF%POS%ALT| %ANN \n' \</w:t>
        <w:br/>
        <w:t xml:space="preserve">               detected_variants_consensus_annotated.vcf.gz | \</w:t>
        <w:br/>
        <w:t xml:space="preserve">                  cut -d "|" -f1,3,5,12 | \</w:t>
        <w:br/>
        <w:t xml:space="preserve">                  tr "|" "\t" | \</w:t>
        <w:br/>
        <w:t xml:space="preserve">                  awk  'BEGIN {OFS = "\t"} {if ( \$2 == "upstream_gene_variant" || \$2 == "downstream_gene_variant") {gene="."; aa="."} else {gene=\$3; aa=\$4}; print gene, \$1, aa, \$2}' &gt; detected_variants_consensus_annotated.txt</w:t>
      </w:r>
    </w:p>
    <w:p>
      <w:pPr>
        <w:pStyle w:val="Normal"/>
        <w:rPr>
          <w:i/>
          <w:i/>
          <w:iCs/>
        </w:rPr>
      </w:pPr>
      <w:r>
        <w:rPr/>
      </w:r>
    </w:p>
    <w:p>
      <w:pPr>
        <w:pStyle w:val="Normal"/>
        <w:rPr>
          <w:i/>
          <w:i/>
          <w:iCs/>
        </w:rPr>
      </w:pPr>
      <w:r>
        <w:rPr/>
        <w:t>The `</w:t>
      </w:r>
      <w:r>
        <w:rPr>
          <w:rStyle w:val="Code"/>
        </w:rPr>
        <w:t>-n+2</w:t>
      </w:r>
      <w:r>
        <w:rPr/>
        <w:t>` option ensures that only mutations occurring in at least two partial files are reported, while `</w:t>
      </w:r>
      <w:r>
        <w:rPr>
          <w:rStyle w:val="Code"/>
        </w:rPr>
        <w:t>-c</w:t>
      </w:r>
      <w:r>
        <w:rPr/>
        <w:t>` all defines</w:t>
      </w:r>
      <w:r>
        <w:rPr/>
        <w:t xml:space="preserve"> </w:t>
      </w:r>
      <w:r>
        <w:rPr/>
        <w:t>how positions in different files are treated, with "all" indicating that entries in different files covering the same</w:t>
      </w:r>
      <w:r>
        <w:rPr/>
        <w:t xml:space="preserve"> </w:t>
      </w:r>
      <w:r>
        <w:rPr/>
        <w:t>position are treated as identical.</w:t>
      </w:r>
    </w:p>
    <w:p>
      <w:pPr>
        <w:pStyle w:val="Normal"/>
        <w:rPr>
          <w:i/>
          <w:i/>
          <w:iCs/>
        </w:rPr>
      </w:pPr>
      <w:r>
        <w:rPr/>
      </w:r>
    </w:p>
    <w:p>
      <w:pPr>
        <w:pStyle w:val="Normal"/>
        <w:rPr>
          <w:i/>
          <w:i/>
          <w:iCs/>
        </w:rPr>
      </w:pPr>
      <w:r>
        <w:rPr/>
        <w:t>Subsequently, the snpEFF program utilizes the files `</w:t>
      </w:r>
      <w:r>
        <w:rPr>
          <w:rStyle w:val="Path"/>
        </w:rPr>
        <w:t>0000.vcf</w:t>
      </w:r>
      <w:r>
        <w:rPr/>
        <w:t>` and `</w:t>
      </w:r>
      <w:r>
        <w:rPr>
          <w:rStyle w:val="Path"/>
        </w:rPr>
        <w:t>0001.vcf</w:t>
      </w:r>
      <w:r>
        <w:rPr/>
        <w:t>` created in the dir directory, which contain</w:t>
      </w:r>
      <w:r>
        <w:rPr/>
        <w:t xml:space="preserve"> </w:t>
      </w:r>
      <w:r>
        <w:rPr/>
        <w:t>VCF files from the lofreq and freebayes programs filtered to include only positions present in at least 2 programs.</w:t>
      </w:r>
      <w:r>
        <w:rPr/>
        <w:t xml:space="preserve"> </w:t>
      </w:r>
      <w:r>
        <w:rPr/>
        <w:t>These files are parsed in the script to obtain a nicely formatted table.</w:t>
        <w:br/>
      </w:r>
    </w:p>
    <w:p>
      <w:pPr>
        <w:pStyle w:val="Normal"/>
        <w:rPr>
          <w:i/>
          <w:i/>
          <w:iCs/>
        </w:rPr>
      </w:pPr>
      <w:r>
        <w:rPr/>
        <w:t>Note: In the case of complicated variants (deletions of different lengths), there is no guarantee that such a position</w:t>
      </w:r>
      <w:r>
        <w:rPr/>
        <w:t xml:space="preserve"> </w:t>
      </w:r>
      <w:r>
        <w:rPr/>
        <w:t>will be found in the annotated VCF file, which is a limitation of the isec function.</w:t>
      </w:r>
    </w:p>
    <w:p>
      <w:pPr>
        <w:pStyle w:val="Normal"/>
        <w:rPr>
          <w:i/>
          <w:i/>
          <w:iCs/>
        </w:rPr>
      </w:pPr>
      <w:r>
        <w:rPr/>
      </w:r>
      <w:r>
        <w:br w:type="page"/>
      </w:r>
    </w:p>
    <w:p>
      <w:pPr>
        <w:pStyle w:val="Heading2"/>
        <w:rPr/>
      </w:pPr>
      <w:bookmarkStart w:id="89" w:name="__RefHeading___Toc2820_900569203"/>
      <w:bookmarkEnd w:id="89"/>
      <w:r>
        <w:rPr/>
        <w:t>Module sort_and_index.nf</w:t>
      </w:r>
    </w:p>
    <w:p>
      <w:pPr>
        <w:pStyle w:val="TextBody"/>
        <w:rPr>
          <w:i/>
          <w:i/>
          <w:iCs/>
        </w:rPr>
      </w:pPr>
      <w:r>
        <w:rPr/>
        <w:t>Auxiliary module for Influenza that replaces merging from other pipelines. It only sorts and indexes BAM files.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INFL</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Codebox"/>
        <w:rPr>
          <w:i/>
          <w:i/>
          <w:iCs/>
        </w:rPr>
      </w:pPr>
      <w:r>
        <w:rPr/>
        <w:t>samtools sort -o ${newBam} ${bam}</w:t>
        <w:br/>
        <w:t>samtools index ${newBam}</w:t>
      </w:r>
      <w:r>
        <w:br w:type="page"/>
      </w:r>
    </w:p>
    <w:p>
      <w:pPr>
        <w:pStyle w:val="Heading2"/>
        <w:rPr/>
      </w:pPr>
      <w:bookmarkStart w:id="90" w:name="__RefHeading___Toc2822_900569203"/>
      <w:bookmarkEnd w:id="90"/>
      <w:r>
        <w:rPr/>
        <w:t>Module substitute_ref.nf</w:t>
      </w:r>
    </w:p>
    <w:p>
      <w:pPr>
        <w:pStyle w:val="TextBody"/>
        <w:rPr>
          <w:i/>
          <w:i/>
          <w:iCs/>
        </w:rPr>
      </w:pPr>
      <w:r>
        <w:rPr/>
        <w:t>Auxiliary module in Nanopore to facilitate the double-round process.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YES</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t>The proportion of Ns to the genome length exceeds 90%.</w:t>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p>
            <w:pPr>
              <w:pStyle w:val="TableContents"/>
              <w:widowControl w:val="false"/>
              <w:rPr/>
            </w:pPr>
            <w:r>
              <w:rPr/>
            </w:r>
          </w:p>
        </w:tc>
      </w:tr>
    </w:tbl>
    <w:p>
      <w:pPr>
        <w:pStyle w:val="Normal"/>
        <w:rPr>
          <w:i/>
          <w:i/>
          <w:iCs/>
        </w:rPr>
      </w:pPr>
      <w:r>
        <w:rPr>
          <w:i/>
          <w:iCs/>
        </w:rPr>
      </w:r>
    </w:p>
    <w:p>
      <w:pPr>
        <w:pStyle w:val="Normal"/>
        <w:rPr>
          <w:i/>
          <w:i/>
          <w:iCs/>
        </w:rPr>
      </w:pPr>
      <w:r>
        <w:rPr/>
        <w:t>This process substitutes the reference genome from the second step of genome generation in Nanopore with the originally used reference genome and integrates Nanopore and Illumina I/O. It also functions as a QC switch to replicate the behavior of the introduce_SV_with_manta module from Illumina.</w:t>
      </w:r>
      <w:r>
        <w:br w:type="page"/>
      </w:r>
    </w:p>
    <w:p>
      <w:pPr>
        <w:pStyle w:val="Heading2"/>
        <w:rPr/>
      </w:pPr>
      <w:bookmarkStart w:id="91" w:name="__RefHeading___Toc2824_900569203"/>
      <w:bookmarkEnd w:id="91"/>
      <w:r>
        <w:rPr/>
        <w:t>Module trimmomatic.nf</w:t>
      </w:r>
    </w:p>
    <w:p>
      <w:pPr>
        <w:pStyle w:val="TextBody"/>
        <w:rPr/>
      </w:pPr>
      <w:r>
        <w:rPr/>
        <w:t>Trimmomatic is a tool for processing and filtering NGS reads. It performs adapter removal, quality trimming (leading, trailing, and using a sliding window), and discards reads below a specified minimum length. Additionally, it separates paired-end reads into paired and unpaired outputs based on the trimming results.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5"/>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5"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5"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numPr>
                <w:ilvl w:val="0"/>
                <w:numId w:val="9"/>
              </w:numPr>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tc>
      </w:tr>
    </w:tbl>
    <w:p>
      <w:pPr>
        <w:pStyle w:val="Codebox"/>
        <w:rPr/>
      </w:pPr>
      <w:r>
        <w:rPr/>
        <w:t>java -jar /opt/trimmomatic/trimmomatic.jar PE ${reads[0]} ${reads[1]} \</w:t>
      </w:r>
    </w:p>
    <w:p>
      <w:pPr>
        <w:pStyle w:val="Codebox"/>
        <w:rPr/>
      </w:pPr>
      <w:r>
        <w:rPr/>
        <w:t xml:space="preserve">                                           </w:t>
      </w:r>
      <w:r>
        <w:rPr/>
        <w:t>forward_paired.fastq.gz \</w:t>
      </w:r>
    </w:p>
    <w:p>
      <w:pPr>
        <w:pStyle w:val="Codebox"/>
        <w:rPr/>
      </w:pPr>
      <w:r>
        <w:rPr/>
        <w:t xml:space="preserve">                                           </w:t>
      </w:r>
      <w:r>
        <w:rPr/>
        <w:t>forward_unpaired.fastq.gz \</w:t>
      </w:r>
    </w:p>
    <w:p>
      <w:pPr>
        <w:pStyle w:val="Codebox"/>
        <w:rPr/>
      </w:pPr>
      <w:r>
        <w:rPr/>
        <w:t xml:space="preserve">                                           </w:t>
      </w:r>
      <w:r>
        <w:rPr/>
        <w:t>reverse_paired.fastq.gz \</w:t>
      </w:r>
    </w:p>
    <w:p>
      <w:pPr>
        <w:pStyle w:val="Codebox"/>
        <w:rPr/>
      </w:pPr>
      <w:r>
        <w:rPr/>
        <w:t xml:space="preserve">                                           </w:t>
      </w:r>
      <w:r>
        <w:rPr/>
        <w:t>reverse_unpaired.fastq.gz \</w:t>
      </w:r>
    </w:p>
    <w:p>
      <w:pPr>
        <w:pStyle w:val="Codebox"/>
        <w:rPr/>
      </w:pPr>
      <w:r>
        <w:rPr/>
        <w:t xml:space="preserve">                                           </w:t>
      </w:r>
      <w:r>
        <w:rPr/>
        <w:t>ILLUMINACLIP:${adapters}:2:30:10:8:True \</w:t>
      </w:r>
    </w:p>
    <w:p>
      <w:pPr>
        <w:pStyle w:val="Codebox"/>
        <w:rPr/>
      </w:pPr>
      <w:r>
        <w:rPr/>
        <w:t xml:space="preserve">                                           </w:t>
      </w:r>
      <w:r>
        <w:rPr/>
        <w:t>LEADING:${params.quality_initial} \</w:t>
      </w:r>
    </w:p>
    <w:p>
      <w:pPr>
        <w:pStyle w:val="Codebox"/>
        <w:rPr/>
      </w:pPr>
      <w:r>
        <w:rPr/>
        <w:t xml:space="preserve">                                           </w:t>
      </w:r>
      <w:r>
        <w:rPr/>
        <w:t>TRAILING:${params.quality_initial} \</w:t>
      </w:r>
    </w:p>
    <w:p>
      <w:pPr>
        <w:pStyle w:val="Codebox"/>
        <w:rPr/>
      </w:pPr>
      <w:r>
        <w:rPr/>
        <w:t xml:space="preserve">                                           </w:t>
      </w:r>
      <w:r>
        <w:rPr/>
        <w:t>SLIDINGWINDOW:4:4 \</w:t>
      </w:r>
    </w:p>
    <w:p>
      <w:pPr>
        <w:pStyle w:val="Codebox"/>
        <w:rPr/>
      </w:pPr>
      <w:r>
        <w:rPr/>
        <w:t xml:space="preserve">                                           </w:t>
      </w:r>
      <w:r>
        <w:rPr/>
        <w:t>MINLEN:${params.length}</w:t>
      </w:r>
    </w:p>
    <w:p>
      <w:pPr>
        <w:pStyle w:val="TextBody"/>
        <w:rPr/>
      </w:pPr>
      <w:r>
        <w:rPr/>
        <w:t xml:space="preserve">At this stage, we remove nucleotides of low quality from the 5’ and 3’ ends of the reads as well as adapter sequences from the reads. Then, we filter out reads that do not meet the length criterion. Those pairs in which both reads meet the length criterion are saved to appropriate files named "paired", and those pairs in which one of the reads does not meet the length criterion after filtering are saved to files named "unpaired". Adapter sequences are provided in the form of .fasta files. In the pipeline, we use adapter sequences provided by the authors of the Trimmomatic program (e.g., default sequences from the </w:t>
      </w:r>
      <w:r>
        <w:rPr>
          <w:rStyle w:val="Path"/>
        </w:rPr>
        <w:t>TruSeq3-PE-2.fa</w:t>
      </w:r>
      <w:r>
        <w:rPr/>
        <w:t xml:space="preserve"> file), which have been placed in the container in the </w:t>
      </w:r>
      <w:r>
        <w:rPr>
          <w:rStyle w:val="Path"/>
        </w:rPr>
        <w:t>/SARS-CoV2/adapters/</w:t>
      </w:r>
      <w:r>
        <w:rPr/>
        <w:t xml:space="preserve"> directory.</w:t>
      </w:r>
    </w:p>
    <w:p>
      <w:pPr>
        <w:pStyle w:val="TextBody"/>
        <w:rPr/>
      </w:pPr>
      <w:r>
        <w:rPr/>
        <w:t>When setting the quality threshold, it is recommended to use low qualities (default is just 5), which may seem "unorthodox" at first glance. However, it should be remembered that we are dealing with amplicon-based sequencing, and the crucial information here is from which amplicon the read originates and whether it maps to any of the primers. Removing a fragment of the read from its 5’ and 3’ ends may lead to its incorrect classification, which will affect further analysis. On the other hand, not removing reads of very poor quality may result in incorrect read alignment. Below is an example of what excessive zeal in removing nucleotides from the 5’/3’ end can lead to.</w:t>
      </w:r>
    </w:p>
    <w:p>
      <w:pPr>
        <w:pStyle w:val="TextBody"/>
        <w:rPr/>
      </w:pPr>
      <w:r>
        <w:rPr/>
        <w:t>1. Original situation (X - any nucleotide; P – primer position in the reference genome; M - masked position in the read, i.e., not used for variant identification or coverage counting)</w:t>
      </w:r>
    </w:p>
    <w:p>
      <w:pPr>
        <w:pStyle w:val="Codebox"/>
        <w:rPr/>
      </w:pPr>
      <w:r>
        <w:rPr/>
        <w:t xml:space="preserve">    </w:t>
      </w:r>
      <w:r>
        <w:rPr/>
        <w:t>Read                       XXXXXXXXXXXXXXXXXXXXXXX</w:t>
      </w:r>
    </w:p>
    <w:p>
      <w:pPr>
        <w:pStyle w:val="Codebox"/>
        <w:rPr/>
      </w:pPr>
      <w:r>
        <w:rPr/>
        <w:t xml:space="preserve">    </w:t>
      </w:r>
      <w:r>
        <w:rPr/>
        <w:t>Reference genome XXXXXXXXXXXXXPPPPPPPPPXXXXXXXXXXXXXXXXXXXXXXXXXXXXX</w:t>
      </w:r>
    </w:p>
    <w:p>
      <w:pPr>
        <w:pStyle w:val="TextBody"/>
        <w:rPr/>
      </w:pPr>
      <w:r>
        <w:rPr/>
        <w:t>2. Mapping after rigorous removal of nucleotides from the 5’/3’ end of the read.</w:t>
      </w:r>
    </w:p>
    <w:p>
      <w:pPr>
        <w:pStyle w:val="Codebox"/>
        <w:rPr/>
      </w:pPr>
      <w:r>
        <w:rPr/>
        <w:t xml:space="preserve">    </w:t>
      </w:r>
      <w:r>
        <w:rPr/>
        <w:t>Read                            XXXXXXXXXXXXXXXXXX</w:t>
      </w:r>
    </w:p>
    <w:p>
      <w:pPr>
        <w:pStyle w:val="Codebox"/>
        <w:rPr/>
      </w:pPr>
      <w:r>
        <w:rPr/>
        <w:t xml:space="preserve">    </w:t>
      </w:r>
      <w:r>
        <w:rPr/>
        <w:t>Reference genome XXXXXXXXXXXXXPPPPPPPPPXXXXXXXXXXXXXXXXXXXXXXXXXXXXX</w:t>
      </w:r>
    </w:p>
    <w:p>
      <w:pPr>
        <w:pStyle w:val="TextBody"/>
        <w:rPr/>
      </w:pPr>
      <w:r>
        <w:rPr/>
        <w:t>3. Final effect after masking primers for the read after rigorous removal of the 5’/3’ end (described in Step 5)</w:t>
      </w:r>
    </w:p>
    <w:p>
      <w:pPr>
        <w:pStyle w:val="Codebox"/>
        <w:rPr/>
      </w:pPr>
      <w:r>
        <w:rPr/>
        <w:t xml:space="preserve">    </w:t>
      </w:r>
      <w:r>
        <w:rPr/>
        <w:t>Read                              MMMMXXXXXXXXXXX</w:t>
      </w:r>
    </w:p>
    <w:p>
      <w:pPr>
        <w:pStyle w:val="Codebox"/>
        <w:rPr/>
      </w:pPr>
      <w:r>
        <w:rPr/>
        <w:t xml:space="preserve">    </w:t>
      </w:r>
      <w:r>
        <w:rPr/>
        <w:t>Reference genome XXXXXXXXXXXXXPPPPPPPPPXXXXXXXXXXXXXXXXXXXXXXXXXXXXX</w:t>
      </w:r>
    </w:p>
    <w:p>
      <w:pPr>
        <w:pStyle w:val="TextBody"/>
        <w:rPr/>
      </w:pPr>
      <w:r>
        <w:rPr/>
        <w:t>In the above situation, it can be seen that the read does not originate from amplification using the shown primer (it maps before its start). However, after removing the initial nucleotides (which tend to have lower quality), we will assume that the read was indeed generated using this primer. Consequently, the entire read region that maps to this primer will be masked, and we will not use this information in further analysis. Although this problem may seem insignificant due to excessive sequencing of SARS-CoV-2 samples with coverages exceeding tens of thousands, it has serious consequences in regions where the use of a given amplicon is small and the information conveyed by individual reads is very valuable. Additionally, please note that the variable $length is set to 90. This is related to the analysis of one of the EQA test sequences, where short reads (length ~50) were artificially boosting coverages near the 5’ end of the genome.</w:t>
      </w:r>
      <w:r>
        <w:br w:type="page"/>
      </w:r>
    </w:p>
    <w:p>
      <w:pPr>
        <w:pStyle w:val="Heading2"/>
        <w:rPr/>
      </w:pPr>
      <w:bookmarkStart w:id="92" w:name="__RefHeading___Toc2826_900569203"/>
      <w:bookmarkEnd w:id="92"/>
      <w:r>
        <w:rPr/>
        <w:t>Module varscan.nf</w:t>
      </w:r>
    </w:p>
    <w:p>
      <w:pPr>
        <w:pStyle w:val="TextBody"/>
        <w:rPr/>
      </w:pPr>
      <w:r>
        <w:rPr/>
        <w:t>One of INDEL and SNP Callers.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6"/>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6"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6"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2"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2"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tc>
      </w:tr>
    </w:tbl>
    <w:p>
      <w:pPr>
        <w:pStyle w:val="Normal"/>
        <w:rPr/>
      </w:pPr>
      <w:r>
        <w:rPr/>
      </w:r>
    </w:p>
    <w:p>
      <w:pPr>
        <w:pStyle w:val="Normal"/>
        <w:rPr/>
      </w:pPr>
      <w:r>
        <w:rPr/>
        <w:t>Below is the procedure on how we use and parse the varscan program:</w:t>
      </w:r>
    </w:p>
    <w:p>
      <w:pPr>
        <w:pStyle w:val="Normal"/>
        <w:rPr/>
      </w:pPr>
      <w:r>
        <w:rPr/>
      </w:r>
    </w:p>
    <w:p>
      <w:pPr>
        <w:pStyle w:val="Codebox"/>
        <w:rPr/>
      </w:pPr>
      <w:r>
        <w:rPr/>
        <w:t xml:space="preserve">    </w:t>
      </w:r>
      <w:r>
        <w:rPr/>
        <w:t>samtools mpileup --max-depth ${params.max_depth} \</w:t>
      </w:r>
    </w:p>
    <w:p>
      <w:pPr>
        <w:pStyle w:val="Codebox"/>
        <w:rPr/>
      </w:pPr>
      <w:r>
        <w:rPr/>
        <w:t xml:space="preserve">                 </w:t>
      </w:r>
      <w:r>
        <w:rPr/>
        <w:t>--fasta-ref ${reference_fasta} \</w:t>
      </w:r>
    </w:p>
    <w:p>
      <w:pPr>
        <w:pStyle w:val="Codebox"/>
        <w:rPr/>
      </w:pPr>
      <w:r>
        <w:rPr/>
        <w:t xml:space="preserve">                 </w:t>
      </w:r>
      <w:r>
        <w:rPr/>
        <w:t>--min-BQ ${params.quality_snp} \</w:t>
      </w:r>
    </w:p>
    <w:p>
      <w:pPr>
        <w:pStyle w:val="Codebox"/>
        <w:rPr/>
      </w:pPr>
      <w:r>
        <w:rPr/>
        <w:t xml:space="preserve">                 </w:t>
      </w:r>
      <w:r>
        <w:rPr/>
        <w:t>${bam} &gt;&gt; ${bam}.mpileup</w:t>
      </w:r>
    </w:p>
    <w:p>
      <w:pPr>
        <w:pStyle w:val="Normal"/>
        <w:rPr/>
      </w:pPr>
      <w:r>
        <w:rPr/>
      </w:r>
    </w:p>
    <w:p>
      <w:pPr>
        <w:pStyle w:val="Normal"/>
        <w:rPr/>
      </w:pPr>
      <w:r>
        <w:rPr/>
        <w:t>Creating the mpileup file required by the program. The option `-d` (note: properly functioning from `samtools` version 1.09 onwards) ignores further reads mapping to a given position if the coverage exceeds the assumed value.</w:t>
      </w:r>
    </w:p>
    <w:p>
      <w:pPr>
        <w:pStyle w:val="Normal"/>
        <w:rPr/>
      </w:pPr>
      <w:r>
        <w:rPr/>
      </w:r>
    </w:p>
    <w:p>
      <w:pPr>
        <w:pStyle w:val="Codebox"/>
        <w:rPr/>
      </w:pPr>
      <w:r>
        <w:rPr/>
        <w:t xml:space="preserve">    </w:t>
      </w:r>
      <w:r>
        <w:rPr/>
        <w:t>varscan_qual=`echo "${params.quality_snp} - 1" | bc -l`</w:t>
      </w:r>
    </w:p>
    <w:p>
      <w:pPr>
        <w:pStyle w:val="Codebox"/>
        <w:rPr/>
      </w:pPr>
      <w:r>
        <w:rPr/>
        <w:t xml:space="preserve">    </w:t>
      </w:r>
      <w:r>
        <w:rPr/>
        <w:t>java -jar /opt/varscan/VarScan.v2.4.6.jar pileup2cns ${bam}.mpileup \</w:t>
      </w:r>
    </w:p>
    <w:p>
      <w:pPr>
        <w:pStyle w:val="Codebox"/>
        <w:rPr/>
      </w:pPr>
      <w:r>
        <w:rPr/>
        <w:t xml:space="preserve">         </w:t>
      </w:r>
      <w:r>
        <w:rPr/>
        <w:t>--min-avg-qual \${varscan_qual} \</w:t>
      </w:r>
    </w:p>
    <w:p>
      <w:pPr>
        <w:pStyle w:val="Codebox"/>
        <w:rPr/>
      </w:pPr>
      <w:r>
        <w:rPr/>
        <w:t xml:space="preserve">         </w:t>
      </w:r>
      <w:r>
        <w:rPr/>
        <w:t>--p-value ${params.pval} \</w:t>
      </w:r>
    </w:p>
    <w:p>
      <w:pPr>
        <w:pStyle w:val="Codebox"/>
        <w:rPr/>
      </w:pPr>
      <w:r>
        <w:rPr/>
        <w:t xml:space="preserve">         </w:t>
      </w:r>
      <w:r>
        <w:rPr/>
        <w:t>--min-var-freq ${params.lower_ambig} \</w:t>
      </w:r>
    </w:p>
    <w:p>
      <w:pPr>
        <w:pStyle w:val="Codebox"/>
        <w:rPr/>
      </w:pPr>
      <w:r>
        <w:rPr/>
        <w:t xml:space="preserve">         </w:t>
      </w:r>
      <w:r>
        <w:rPr/>
        <w:t>--min-coverage ${params.min_cov} \</w:t>
      </w:r>
    </w:p>
    <w:p>
      <w:pPr>
        <w:pStyle w:val="Codebox"/>
        <w:rPr/>
      </w:pPr>
      <w:r>
        <w:rPr/>
        <w:t xml:space="preserve">         </w:t>
      </w:r>
      <w:r>
        <w:rPr/>
        <w:t>--variants \</w:t>
      </w:r>
    </w:p>
    <w:p>
      <w:pPr>
        <w:pStyle w:val="Codebox"/>
        <w:rPr/>
      </w:pPr>
      <w:r>
        <w:rPr/>
        <w:t xml:space="preserve">         </w:t>
      </w:r>
      <w:r>
        <w:rPr/>
        <w:t>--min-reads2 0 &gt; detected_variants_varscan.txt</w:t>
      </w:r>
    </w:p>
    <w:p>
      <w:pPr>
        <w:pStyle w:val="Normal"/>
        <w:rPr/>
      </w:pPr>
      <w:r>
        <w:rPr/>
      </w:r>
    </w:p>
    <w:p>
      <w:pPr>
        <w:pStyle w:val="Normal"/>
        <w:rPr/>
      </w:pPr>
      <w:r>
        <w:rPr/>
        <w:t>Calling varscan, the above options signify:</w:t>
      </w:r>
    </w:p>
    <w:p>
      <w:pPr>
        <w:pStyle w:val="Normal"/>
        <w:rPr/>
      </w:pPr>
      <w:r>
        <w:rPr/>
      </w:r>
    </w:p>
    <w:p>
      <w:pPr>
        <w:pStyle w:val="Normal"/>
        <w:numPr>
          <w:ilvl w:val="0"/>
          <w:numId w:val="25"/>
        </w:numPr>
        <w:rPr/>
      </w:pPr>
      <w:r>
        <w:rPr>
          <w:rStyle w:val="Code"/>
        </w:rPr>
        <w:t>--min-coverage</w:t>
      </w:r>
      <w:r>
        <w:rPr/>
        <w:t xml:space="preserve"> – minimum coverage at a given position required for the program to identify a variant.</w:t>
      </w:r>
    </w:p>
    <w:p>
      <w:pPr>
        <w:pStyle w:val="Normal"/>
        <w:numPr>
          <w:ilvl w:val="0"/>
          <w:numId w:val="25"/>
        </w:numPr>
        <w:rPr/>
      </w:pPr>
      <w:r>
        <w:rPr>
          <w:rStyle w:val="Code"/>
        </w:rPr>
        <w:t>--min-reads2</w:t>
      </w:r>
      <w:r>
        <w:rPr/>
        <w:t xml:space="preserve"> - minimum number of reads supporting the variant, set to 0.</w:t>
      </w:r>
    </w:p>
    <w:p>
      <w:pPr>
        <w:pStyle w:val="Normal"/>
        <w:numPr>
          <w:ilvl w:val="0"/>
          <w:numId w:val="25"/>
        </w:numPr>
        <w:rPr/>
      </w:pPr>
      <w:r>
        <w:rPr>
          <w:rStyle w:val="Code"/>
        </w:rPr>
        <w:t>--min-avg-qual</w:t>
      </w:r>
      <w:r>
        <w:rPr/>
        <w:t xml:space="preserve"> – minimum read quality at this position required to include the read in the analysis.</w:t>
      </w:r>
    </w:p>
    <w:p>
      <w:pPr>
        <w:pStyle w:val="Normal"/>
        <w:numPr>
          <w:ilvl w:val="0"/>
          <w:numId w:val="25"/>
        </w:numPr>
        <w:rPr/>
      </w:pPr>
      <w:r>
        <w:rPr>
          <w:rStyle w:val="Code"/>
        </w:rPr>
        <w:t>--p-value</w:t>
      </w:r>
      <w:r>
        <w:rPr/>
        <w:t xml:space="preserve"> – threshold p-value the variant must achieve to be reported.</w:t>
      </w:r>
    </w:p>
    <w:p>
      <w:pPr>
        <w:pStyle w:val="Normal"/>
        <w:numPr>
          <w:ilvl w:val="0"/>
          <w:numId w:val="25"/>
        </w:numPr>
        <w:rPr/>
      </w:pPr>
      <w:r>
        <w:rPr>
          <w:rStyle w:val="Code"/>
        </w:rPr>
        <w:t>--min-var-freq</w:t>
      </w:r>
      <w:r>
        <w:rPr/>
        <w:t xml:space="preserve"> – minimum percentage of reads with a non-reference allele required to report a variant.</w:t>
      </w:r>
    </w:p>
    <w:p>
      <w:pPr>
        <w:pStyle w:val="Normal"/>
        <w:numPr>
          <w:ilvl w:val="0"/>
          <w:numId w:val="25"/>
        </w:numPr>
        <w:rPr/>
      </w:pPr>
      <w:r>
        <w:rPr>
          <w:rStyle w:val="Code"/>
        </w:rPr>
        <w:t>--variants</w:t>
      </w:r>
      <w:r>
        <w:rPr/>
        <w:t xml:space="preserve"> – besides SNPs, the program should also identify short INDELs.`</w:t>
      </w:r>
    </w:p>
    <w:p>
      <w:pPr>
        <w:pStyle w:val="Normal"/>
        <w:rPr/>
      </w:pPr>
      <w:r>
        <w:rPr/>
      </w:r>
    </w:p>
    <w:p>
      <w:pPr>
        <w:pStyle w:val="Codebox"/>
        <w:rPr/>
      </w:pPr>
      <w:r>
        <w:rPr/>
        <w:t xml:space="preserve">    </w:t>
      </w:r>
      <w:r>
        <w:rPr/>
        <w:t>parse_vcf_output_final.py detected_variants_varscan.txt ${params.upper_ambig} ${params.pval}</w:t>
      </w:r>
    </w:p>
    <w:p>
      <w:pPr>
        <w:pStyle w:val="Normal"/>
        <w:rPr/>
      </w:pPr>
      <w:r>
        <w:rPr/>
      </w:r>
    </w:p>
    <w:p>
      <w:pPr>
        <w:pStyle w:val="Normal"/>
        <w:rPr/>
      </w:pPr>
      <w:r>
        <w:rPr/>
        <w:t>A parser converting the text file `</w:t>
      </w:r>
      <w:r>
        <w:rPr>
          <w:rStyle w:val="Path"/>
        </w:rPr>
        <w:t>detected_variants_varscan.txt</w:t>
      </w:r>
      <w:r>
        <w:rPr/>
        <w:t>` to a vcf file format. Compared to the txt file, the vcf file introduces the following changes:</w:t>
      </w:r>
    </w:p>
    <w:p>
      <w:pPr>
        <w:pStyle w:val="Normal"/>
        <w:rPr/>
      </w:pPr>
      <w:r>
        <w:rPr/>
      </w:r>
    </w:p>
    <w:p>
      <w:pPr>
        <w:pStyle w:val="Normal"/>
        <w:rPr/>
      </w:pPr>
      <w:r>
        <w:rPr/>
        <w:t>1. Positions reported as deletions/insertions relative to the reference genome, e.g.,</w:t>
      </w:r>
    </w:p>
    <w:p>
      <w:pPr>
        <w:pStyle w:val="Normal"/>
        <w:rPr/>
      </w:pPr>
      <w:r>
        <w:rPr/>
        <w:t xml:space="preserve">    </w:t>
      </w:r>
    </w:p>
    <w:p>
      <w:pPr>
        <w:pStyle w:val="Codebox"/>
        <w:rPr/>
      </w:pPr>
      <w:r>
        <w:rPr/>
        <w:t xml:space="preserve">       </w:t>
      </w:r>
      <w:r>
        <w:rPr/>
        <w:t>MN908947.3    22204    T    +GAGCCAGAA</w:t>
      </w:r>
    </w:p>
    <w:p>
      <w:pPr>
        <w:pStyle w:val="Normal"/>
        <w:rPr/>
      </w:pPr>
      <w:r>
        <w:rPr/>
        <w:t xml:space="preserve">   </w:t>
      </w:r>
      <w:r>
        <w:rPr/>
        <w:t>Containing symbols "+" or "-" are corrected to:</w:t>
      </w:r>
    </w:p>
    <w:p>
      <w:pPr>
        <w:pStyle w:val="Codebox"/>
        <w:rPr/>
      </w:pPr>
      <w:r>
        <w:rPr/>
        <w:t xml:space="preserve">       </w:t>
      </w:r>
      <w:r>
        <w:rPr/>
        <w:t>MN908947.3    22204    .    T    TGAGCCAGAA</w:t>
      </w:r>
    </w:p>
    <w:p>
      <w:pPr>
        <w:pStyle w:val="Normal"/>
        <w:rPr/>
      </w:pPr>
      <w:r>
        <w:rPr/>
      </w:r>
    </w:p>
    <w:p>
      <w:pPr>
        <w:pStyle w:val="Normal"/>
        <w:rPr/>
      </w:pPr>
      <w:r>
        <w:rPr/>
        <w:t>2. Heterozygous positions, e.g.,</w:t>
      </w:r>
    </w:p>
    <w:p>
      <w:pPr>
        <w:pStyle w:val="Codebox"/>
        <w:rPr/>
      </w:pPr>
      <w:r>
        <w:rPr/>
        <w:t xml:space="preserve">       </w:t>
      </w:r>
      <w:r>
        <w:rPr/>
        <w:t>MN908947.3    21766    .    ACATGTC    A</w:t>
      </w:r>
    </w:p>
    <w:p>
      <w:pPr>
        <w:pStyle w:val="Normal"/>
        <w:rPr/>
      </w:pPr>
      <w:r>
        <w:rPr/>
      </w:r>
    </w:p>
    <w:p>
      <w:pPr>
        <w:pStyle w:val="Normal"/>
        <w:rPr/>
      </w:pPr>
      <w:r>
        <w:rPr/>
        <w:t>3. Positions where the frequency of using the alternative allele is greater than the value provided in the variable $upper_ambig are converted from ambiguous to the alternative allele version. Varscan returns ambiguous positions even with a reference allele frequency of 0.75, e.g.,</w:t>
      </w:r>
    </w:p>
    <w:p>
      <w:pPr>
        <w:pStyle w:val="Normal"/>
        <w:rPr/>
      </w:pPr>
      <w:r>
        <w:rPr/>
        <w:t xml:space="preserve">    </w:t>
      </w:r>
    </w:p>
    <w:p>
      <w:pPr>
        <w:pStyle w:val="Codebox"/>
        <w:rPr/>
      </w:pPr>
      <w:r>
        <w:rPr/>
        <w:t xml:space="preserve">       </w:t>
      </w:r>
      <w:r>
        <w:rPr/>
        <w:t>MN908947.    25324    C    M (where the frequency of allele A is 60%)</w:t>
      </w:r>
    </w:p>
    <w:p>
      <w:pPr>
        <w:pStyle w:val="Normal"/>
        <w:rPr/>
      </w:pPr>
      <w:r>
        <w:rPr/>
        <w:t xml:space="preserve">      </w:t>
      </w:r>
      <w:r>
        <w:rPr/>
        <w:t>are corrected to</w:t>
      </w:r>
    </w:p>
    <w:p>
      <w:pPr>
        <w:pStyle w:val="Codebox"/>
        <w:rPr/>
      </w:pPr>
      <w:r>
        <w:rPr/>
        <w:t xml:space="preserve">       </w:t>
      </w:r>
      <w:r>
        <w:rPr/>
        <w:t>MN908947.3    25324    .    C    A</w:t>
      </w:r>
    </w:p>
    <w:p>
      <w:pPr>
        <w:pStyle w:val="Normal"/>
        <w:rPr/>
      </w:pPr>
      <w:r>
        <w:rPr/>
      </w:r>
    </w:p>
    <w:p>
      <w:pPr>
        <w:pStyle w:val="Normal"/>
        <w:rPr/>
      </w:pPr>
      <w:r>
        <w:rPr/>
        <w:t>4. The QUAL field, which does not have a clear representation in the varscan output, is changed to 30 in the vcf file.</w:t>
      </w:r>
    </w:p>
    <w:p>
      <w:pPr>
        <w:pStyle w:val="Normal"/>
        <w:rPr/>
      </w:pPr>
      <w:r>
        <w:rPr/>
      </w:r>
    </w:p>
    <w:p>
      <w:pPr>
        <w:pStyle w:val="Codebox"/>
        <w:rPr/>
      </w:pPr>
      <w:r>
        <w:rPr/>
        <w:t>bcftools norm --check-ref w \</w:t>
      </w:r>
    </w:p>
    <w:p>
      <w:pPr>
        <w:pStyle w:val="Codebox"/>
        <w:rPr/>
      </w:pPr>
      <w:r>
        <w:rPr/>
        <w:t xml:space="preserve">                  </w:t>
      </w:r>
      <w:r>
        <w:rPr/>
        <w:t>--rm-dup all \</w:t>
      </w:r>
    </w:p>
    <w:p>
      <w:pPr>
        <w:pStyle w:val="Codebox"/>
        <w:rPr/>
      </w:pPr>
      <w:r>
        <w:rPr/>
        <w:t xml:space="preserve">                  </w:t>
      </w:r>
      <w:r>
        <w:rPr/>
        <w:t>--fasta-ref ${reference_fasta}\</w:t>
      </w:r>
    </w:p>
    <w:p>
      <w:pPr>
        <w:pStyle w:val="Codebox"/>
        <w:rPr/>
      </w:pPr>
      <w:r>
        <w:rPr/>
        <w:t xml:space="preserve">                   </w:t>
      </w:r>
      <w:r>
        <w:rPr/>
        <w:t>detected_variants_varscan.vcf.gz | \</w:t>
      </w:r>
    </w:p>
    <w:p>
      <w:pPr>
        <w:pStyle w:val="Codebox"/>
        <w:rPr/>
      </w:pPr>
      <w:r>
        <w:rPr/>
        <w:t xml:space="preserve">                       </w:t>
      </w:r>
      <w:r>
        <w:rPr/>
        <w:t>bcftools norm --check-ref w \</w:t>
      </w:r>
    </w:p>
    <w:p>
      <w:pPr>
        <w:pStyle w:val="Codebox"/>
        <w:rPr/>
      </w:pPr>
      <w:r>
        <w:rPr/>
        <w:t xml:space="preserve">                                     </w:t>
      </w:r>
      <w:r>
        <w:rPr/>
        <w:t>--multiallelics -indels \</w:t>
      </w:r>
    </w:p>
    <w:p>
      <w:pPr>
        <w:pStyle w:val="Codebox"/>
        <w:rPr/>
      </w:pPr>
      <w:r>
        <w:rPr/>
        <w:t xml:space="preserve">                                     </w:t>
      </w:r>
      <w:r>
        <w:rPr/>
        <w:t>--fasta-ref ${reference_fasta} | \</w:t>
      </w:r>
    </w:p>
    <w:p>
      <w:pPr>
        <w:pStyle w:val="Codebox"/>
        <w:rPr/>
      </w:pPr>
      <w:r>
        <w:rPr/>
        <w:t xml:space="preserve">                                           </w:t>
      </w:r>
      <w:r>
        <w:rPr/>
        <w:t>bcftools filter \</w:t>
      </w:r>
    </w:p>
    <w:p>
      <w:pPr>
        <w:pStyle w:val="Codebox"/>
        <w:rPr/>
      </w:pPr>
      <w:r>
        <w:rPr/>
        <w:t xml:space="preserve">                                                    </w:t>
      </w:r>
      <w:r>
        <w:rPr/>
        <w:t>--include "QUAL &gt;= \${qual} &amp;&amp; AF &gt;= ${params.lower_ambig} &amp;&amp; DP &gt;= ${params.min_cov}" &gt; detected_variants_varscan_final.vcf</w:t>
      </w:r>
    </w:p>
    <w:p>
      <w:pPr>
        <w:pStyle w:val="Normal"/>
        <w:rPr/>
      </w:pPr>
      <w:r>
        <w:rPr/>
      </w:r>
    </w:p>
    <w:p>
      <w:pPr>
        <w:pStyle w:val="Normal"/>
        <w:rPr/>
      </w:pPr>
      <w:r>
        <w:rPr/>
        <w:t>"Sorting" the vcf file using the norm function from the bcftools package. The `</w:t>
      </w:r>
      <w:r>
        <w:rPr>
          <w:rStyle w:val="Code"/>
        </w:rPr>
        <w:t>-c w</w:t>
      </w:r>
      <w:r>
        <w:rPr/>
        <w:t>` option causes the program to return a warning instead of an error if ambiguous positions are present in the file, and further process the vcf file. The "-d all" removes duplicates, the `</w:t>
      </w:r>
      <w:r>
        <w:rPr>
          <w:rStyle w:val="Code"/>
        </w:rPr>
        <w:t>-m -indels</w:t>
      </w:r>
      <w:r>
        <w:rPr/>
        <w:t>` option splits multiallelic positions into individual entries. Generally, vcf files show the richness of changes identified by programs. Sometimes overlapping changes occur, sometimes programs return unusual mutation notations, multiallelic positions, etc. To organize such a vcf file, we call the above command. Then we ensure that the resulting records still meet the quality and coverage criteria. In the case of varscan, this is not as important because when parsing its output, we set the quality to 1 or 30. Simple examples of changes identified in sample 1 from EQA for the freebayes program.</w:t>
      </w:r>
    </w:p>
    <w:p>
      <w:pPr>
        <w:pStyle w:val="Normal"/>
        <w:rPr/>
      </w:pPr>
      <w:r>
        <w:rPr/>
      </w:r>
    </w:p>
    <w:p>
      <w:pPr>
        <w:pStyle w:val="Normal"/>
        <w:rPr/>
      </w:pPr>
      <w:r>
        <w:rPr/>
        <w:t>Before:</w:t>
      </w:r>
    </w:p>
    <w:p>
      <w:pPr>
        <w:pStyle w:val="Normal"/>
        <w:rPr/>
      </w:pPr>
      <w:r>
        <w:rPr/>
      </w:r>
    </w:p>
    <w:p>
      <w:pPr>
        <w:pStyle w:val="Codebox"/>
        <w:rPr/>
      </w:pPr>
      <w:r>
        <w:rPr/>
        <w:t xml:space="preserve">    </w:t>
      </w:r>
      <w:r>
        <w:rPr/>
        <w:t>MN908947.3    22204    .    TGA    TGAGCCAGAAGA</w:t>
      </w:r>
    </w:p>
    <w:p>
      <w:pPr>
        <w:pStyle w:val="Normal"/>
        <w:rPr/>
      </w:pPr>
      <w:r>
        <w:rPr/>
      </w:r>
    </w:p>
    <w:p>
      <w:pPr>
        <w:pStyle w:val="Normal"/>
        <w:rPr/>
      </w:pPr>
      <w:r>
        <w:rPr/>
        <w:t>After:</w:t>
      </w:r>
    </w:p>
    <w:p>
      <w:pPr>
        <w:pStyle w:val="Normal"/>
        <w:rPr/>
      </w:pPr>
      <w:r>
        <w:rPr/>
      </w:r>
    </w:p>
    <w:p>
      <w:pPr>
        <w:pStyle w:val="Codebox"/>
        <w:rPr/>
      </w:pPr>
      <w:r>
        <w:rPr/>
        <w:t xml:space="preserve">    </w:t>
      </w:r>
      <w:r>
        <w:rPr/>
        <w:t>MN908947.3    22204    .    T    TGAGCCAGAA</w:t>
      </w:r>
    </w:p>
    <w:p>
      <w:pPr>
        <w:pStyle w:val="Normal"/>
        <w:rPr/>
      </w:pPr>
      <w:r>
        <w:rPr/>
        <w:t>Or splitting a complex mutation</w:t>
      </w:r>
    </w:p>
    <w:p>
      <w:pPr>
        <w:pStyle w:val="Normal"/>
        <w:rPr/>
      </w:pPr>
      <w:r>
        <w:rPr/>
        <w:t>Before:</w:t>
      </w:r>
    </w:p>
    <w:p>
      <w:pPr>
        <w:pStyle w:val="Normal"/>
        <w:rPr/>
      </w:pPr>
      <w:r>
        <w:rPr/>
      </w:r>
    </w:p>
    <w:p>
      <w:pPr>
        <w:pStyle w:val="Codebox"/>
        <w:rPr/>
      </w:pPr>
      <w:r>
        <w:rPr/>
        <w:t xml:space="preserve">    </w:t>
      </w:r>
      <w:r>
        <w:rPr/>
        <w:t>MN908947.3    25334    .    GAAG    CACG,CACC,GACC,GAAC</w:t>
      </w:r>
    </w:p>
    <w:p>
      <w:pPr>
        <w:pStyle w:val="Normal"/>
        <w:rPr/>
      </w:pPr>
      <w:r>
        <w:rPr/>
        <w:t>After, splitting the mutation into components</w:t>
      </w:r>
    </w:p>
    <w:p>
      <w:pPr>
        <w:pStyle w:val="Normal"/>
        <w:rPr/>
      </w:pPr>
      <w:r>
        <w:rPr/>
      </w:r>
    </w:p>
    <w:p>
      <w:pPr>
        <w:pStyle w:val="Codebox"/>
        <w:rPr/>
      </w:pPr>
      <w:r>
        <w:rPr/>
        <w:t xml:space="preserve">    </w:t>
      </w:r>
      <w:r>
        <w:rPr/>
        <w:t>MN908947.3    25334    .    GAA    CAC</w:t>
      </w:r>
    </w:p>
    <w:p>
      <w:pPr>
        <w:pStyle w:val="Codebox"/>
        <w:rPr/>
      </w:pPr>
      <w:r>
        <w:rPr/>
        <w:t xml:space="preserve">    </w:t>
      </w:r>
      <w:r>
        <w:rPr/>
        <w:t>MN908947.3    25334    .    GAAG    CACC</w:t>
      </w:r>
    </w:p>
    <w:p>
      <w:pPr>
        <w:pStyle w:val="Codebox"/>
        <w:rPr/>
      </w:pPr>
      <w:r>
        <w:rPr/>
        <w:t xml:space="preserve">    </w:t>
      </w:r>
      <w:r>
        <w:rPr/>
        <w:t>MN908947.3    25336    .    AG    CC</w:t>
      </w:r>
    </w:p>
    <w:p>
      <w:pPr>
        <w:pStyle w:val="Codebox"/>
        <w:rPr/>
      </w:pPr>
      <w:r>
        <w:rPr/>
        <w:t xml:space="preserve">    </w:t>
      </w:r>
      <w:r>
        <w:rPr/>
        <w:t>MN908947.3    25337    .    G    C</w:t>
      </w:r>
    </w:p>
    <w:p>
      <w:pPr>
        <w:pStyle w:val="Normal"/>
        <w:rPr/>
      </w:pPr>
      <w:r>
        <w:rPr/>
      </w:r>
    </w:p>
    <w:p>
      <w:pPr>
        <w:pStyle w:val="Normal"/>
        <w:rPr/>
      </w:pPr>
      <w:r>
        <w:rPr/>
      </w:r>
    </w:p>
    <w:p>
      <w:pPr>
        <w:pStyle w:val="Codebox"/>
        <w:rPr/>
      </w:pPr>
      <w:r>
        <w:rPr/>
        <w:t xml:space="preserve">    </w:t>
      </w:r>
      <w:r>
        <w:rPr/>
        <w:t>cat ${reference_fasta} | bcftools consensus --samples - detected_variants_varscan_final.vcf.gz &gt; varscan.fa</w:t>
      </w:r>
    </w:p>
    <w:p>
      <w:pPr>
        <w:pStyle w:val="Normal"/>
        <w:rPr/>
      </w:pPr>
      <w:r>
        <w:rPr/>
      </w:r>
    </w:p>
    <w:p>
      <w:pPr>
        <w:pStyle w:val="Normal"/>
        <w:rPr/>
      </w:pPr>
      <w:r>
        <w:rPr/>
      </w:r>
    </w:p>
    <w:p>
      <w:pPr>
        <w:pStyle w:val="Normal"/>
        <w:rPr/>
      </w:pPr>
      <w:r>
        <w:rPr/>
        <w:t xml:space="preserve">The above command incorporates all mutations present in the vcf file into the reference genome. The </w:t>
      </w:r>
      <w:r>
        <w:rPr>
          <w:rStyle w:val="Code"/>
        </w:rPr>
        <w:t>-s -</w:t>
      </w:r>
      <w:r>
        <w:rPr/>
        <w:t xml:space="preserve"> option means that we ignore the genotype for the sample (we do not have multiple samples in the vcf file), and we introduce all mutations present in the vcf file. The result is a fasta file format with the genome.</w:t>
      </w:r>
      <w:r>
        <w:br w:type="page"/>
      </w:r>
    </w:p>
    <w:p>
      <w:pPr>
        <w:pStyle w:val="Heading2"/>
        <w:rPr/>
      </w:pPr>
      <w:bookmarkStart w:id="93" w:name="__RefHeading___Toc2828_900569203"/>
      <w:bookmarkEnd w:id="93"/>
      <w:r>
        <w:rPr/>
        <w:t>Module vcf_fr</w:t>
      </w:r>
      <w:r>
        <w:rPr/>
        <w:t>om</w:t>
      </w:r>
      <w:r>
        <w:rPr/>
        <w:t>_fasta.nf</w:t>
      </w:r>
    </w:p>
    <w:p>
      <w:pPr>
        <w:pStyle w:val="TextBody"/>
        <w:rPr/>
      </w:pPr>
      <w:r>
        <w:rPr/>
        <w:t>The module generates a VCF file based on FAST</w:t>
      </w:r>
      <w:r>
        <w:rPr/>
        <w:t>A</w:t>
      </w:r>
      <w:r>
        <w:rPr/>
        <w:t xml:space="preserve"> files.</w:t>
      </w:r>
    </w:p>
    <w:tbl>
      <w:tblPr>
        <w:tblW w:w="9695" w:type="dxa"/>
        <w:jc w:val="left"/>
        <w:tblInd w:w="28" w:type="dxa"/>
        <w:tblLayout w:type="fixed"/>
        <w:tblCellMar>
          <w:top w:w="28" w:type="dxa"/>
          <w:left w:w="28" w:type="dxa"/>
          <w:bottom w:w="0" w:type="dxa"/>
          <w:right w:w="28" w:type="dxa"/>
        </w:tblCellMar>
      </w:tblPr>
      <w:tblGrid>
        <w:gridCol w:w="1019"/>
        <w:gridCol w:w="563"/>
        <w:gridCol w:w="911"/>
        <w:gridCol w:w="2966"/>
        <w:gridCol w:w="4236"/>
      </w:tblGrid>
      <w:tr>
        <w:trPr/>
        <w:tc>
          <w:tcPr>
            <w:tcW w:w="1019"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rPr>
                <w:b/>
                <w:b/>
                <w:bCs/>
              </w:rPr>
            </w:pPr>
            <w:r>
              <w:rPr>
                <w:b/>
                <w:bCs/>
              </w:rPr>
              <w:t>Platform</w:t>
            </w:r>
          </w:p>
        </w:tc>
        <w:tc>
          <w:tcPr>
            <w:tcW w:w="4440" w:type="dxa"/>
            <w:gridSpan w:val="3"/>
            <w:tcBorders>
              <w:top w:val="single" w:sz="2" w:space="0" w:color="000000"/>
              <w:left w:val="single" w:sz="2" w:space="0" w:color="000000"/>
              <w:bottom w:val="single" w:sz="2" w:space="0" w:color="000000"/>
            </w:tcBorders>
            <w:shd w:fill="EEEEEE" w:val="clear"/>
            <w:tcMar>
              <w:left w:w="0" w:type="dxa"/>
            </w:tcMar>
            <w:vAlign w:val="center"/>
          </w:tcPr>
          <w:p>
            <w:pPr>
              <w:pStyle w:val="TableContents"/>
              <w:widowControl w:val="false"/>
              <w:jc w:val="center"/>
              <w:rPr>
                <w:b/>
                <w:b/>
                <w:bCs/>
              </w:rPr>
            </w:pPr>
            <w:r>
              <w:rPr>
                <w:b/>
                <w:bCs/>
              </w:rPr>
              <w:t>Illumina</w:t>
            </w:r>
          </w:p>
        </w:tc>
        <w:tc>
          <w:tcPr>
            <w:tcW w:w="4236" w:type="dxa"/>
            <w:tcBorders>
              <w:top w:val="single" w:sz="2" w:space="0" w:color="000000"/>
              <w:left w:val="single" w:sz="2" w:space="0" w:color="000000"/>
              <w:bottom w:val="single" w:sz="2" w:space="0" w:color="000000"/>
              <w:right w:val="single" w:sz="2" w:space="0" w:color="000000"/>
            </w:tcBorders>
            <w:shd w:fill="EEEEEE" w:val="clear"/>
            <w:tcMar>
              <w:left w:w="0" w:type="dxa"/>
            </w:tcMar>
            <w:vAlign w:val="center"/>
          </w:tcPr>
          <w:p>
            <w:pPr>
              <w:pStyle w:val="TableContents"/>
              <w:widowControl w:val="false"/>
              <w:jc w:val="center"/>
              <w:rPr>
                <w:b/>
                <w:b/>
                <w:bCs/>
              </w:rPr>
            </w:pPr>
            <w:r>
              <w:rPr>
                <w:b/>
                <w:bCs/>
              </w:rPr>
              <w:t>Nanopore</w:t>
            </w:r>
          </w:p>
        </w:tc>
      </w:tr>
      <w:tr>
        <w:trPr/>
        <w:tc>
          <w:tcPr>
            <w:tcW w:w="1019" w:type="dxa"/>
            <w:tcBorders>
              <w:left w:val="single" w:sz="2" w:space="0" w:color="000000"/>
              <w:bottom w:val="single" w:sz="2" w:space="0" w:color="000000"/>
              <w:right w:val="single" w:sz="2" w:space="0" w:color="000000"/>
            </w:tcBorders>
            <w:shd w:fill="EEEEEE" w:val="clear"/>
            <w:vAlign w:val="center"/>
          </w:tcPr>
          <w:p>
            <w:pPr>
              <w:pStyle w:val="TableContents"/>
              <w:widowControl w:val="false"/>
              <w:jc w:val="center"/>
              <w:rPr>
                <w:b/>
                <w:b/>
                <w:bCs/>
              </w:rPr>
            </w:pPr>
            <w:r>
              <w:rPr>
                <w:b/>
                <w:bCs/>
              </w:rPr>
              <w:t>Species</w:t>
            </w:r>
          </w:p>
        </w:tc>
        <w:tc>
          <w:tcPr>
            <w:tcW w:w="4440" w:type="dxa"/>
            <w:gridSpan w:val="3"/>
            <w:tcBorders>
              <w:left w:val="single" w:sz="2" w:space="0" w:color="000000"/>
              <w:bottom w:val="single" w:sz="2" w:space="0" w:color="000000"/>
            </w:tcBorders>
            <w:tcMar>
              <w:left w:w="0" w:type="dxa"/>
            </w:tcMar>
            <w:vAlign w:val="center"/>
          </w:tcPr>
          <w:p>
            <w:pPr>
              <w:pStyle w:val="TableContents"/>
              <w:widowControl w:val="false"/>
              <w:jc w:val="center"/>
              <w:rPr/>
            </w:pPr>
            <w:r>
              <w:rPr/>
              <w:t>SARS</w:t>
              <w:br/>
              <w:t>INFL</w:t>
              <w:br/>
              <w:t>RSV</w:t>
            </w:r>
          </w:p>
        </w:tc>
        <w:tc>
          <w:tcPr>
            <w:tcW w:w="4236" w:type="dxa"/>
            <w:tcBorders>
              <w:left w:val="single" w:sz="2" w:space="0" w:color="000000"/>
              <w:bottom w:val="single" w:sz="2" w:space="0" w:color="000000"/>
              <w:right w:val="single" w:sz="2" w:space="0" w:color="000000"/>
            </w:tcBorders>
            <w:tcMar>
              <w:left w:w="0" w:type="dxa"/>
            </w:tcMar>
            <w:vAlign w:val="center"/>
          </w:tcPr>
          <w:p>
            <w:pPr>
              <w:pStyle w:val="TableContents"/>
              <w:widowControl w:val="false"/>
              <w:jc w:val="center"/>
              <w:rPr/>
            </w:pPr>
            <w:r>
              <w:rPr/>
              <w:t>SARS</w:t>
              <w:br/>
              <w:t>INFL</w:t>
              <w:br/>
              <w:t>RSV</w:t>
            </w:r>
          </w:p>
        </w:tc>
      </w:tr>
      <w:tr>
        <w:trPr/>
        <w:tc>
          <w:tcPr>
            <w:tcW w:w="1019" w:type="dxa"/>
            <w:tcBorders>
              <w:top w:val="single" w:sz="2" w:space="0" w:color="000000"/>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top w:val="single" w:sz="2" w:space="0" w:color="000000"/>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QC</w:t>
            </w:r>
          </w:p>
          <w:p>
            <w:pPr>
              <w:pStyle w:val="TableContents"/>
              <w:widowControl w:val="false"/>
              <w:jc w:val="center"/>
              <w:rPr>
                <w:b/>
                <w:b/>
                <w:bCs/>
              </w:rPr>
            </w:pPr>
            <w:r>
              <w:rPr>
                <w:b/>
                <w:bCs/>
              </w:rPr>
              <w:t>Criteria</w:t>
            </w:r>
          </w:p>
        </w:tc>
        <w:tc>
          <w:tcPr>
            <w:tcW w:w="7202"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jc w:val="left"/>
              <w:rPr/>
            </w:pPr>
            <w:r>
              <w:rPr/>
            </w:r>
          </w:p>
        </w:tc>
      </w:tr>
      <w:tr>
        <w:trPr/>
        <w:tc>
          <w:tcPr>
            <w:tcW w:w="1019" w:type="dxa"/>
            <w:tcBorders>
              <w:left w:val="single" w:sz="2" w:space="0" w:color="000000"/>
              <w:bottom w:val="single" w:sz="2" w:space="0" w:color="000000"/>
              <w:right w:val="single" w:sz="2" w:space="0" w:color="000000"/>
            </w:tcBorders>
            <w:shd w:fill="EEEEEE" w:val="clear"/>
            <w:tcMar>
              <w:bottom w:w="28" w:type="dxa"/>
            </w:tcMar>
            <w:vAlign w:val="center"/>
          </w:tcPr>
          <w:p>
            <w:pPr>
              <w:pStyle w:val="TableContents"/>
              <w:widowControl w:val="false"/>
              <w:jc w:val="center"/>
              <w:rPr>
                <w:b/>
                <w:b/>
                <w:bCs/>
              </w:rPr>
            </w:pPr>
            <w:r>
              <w:rPr>
                <w:b/>
                <w:bCs/>
              </w:rPr>
              <w:t>JSON   output</w:t>
            </w:r>
          </w:p>
        </w:tc>
        <w:tc>
          <w:tcPr>
            <w:tcW w:w="563" w:type="dxa"/>
            <w:tcBorders>
              <w:left w:val="single" w:sz="2" w:space="0" w:color="000000"/>
              <w:bottom w:val="single" w:sz="2" w:space="0" w:color="000000"/>
            </w:tcBorders>
            <w:tcMar>
              <w:left w:w="0" w:type="dxa"/>
              <w:bottom w:w="28" w:type="dxa"/>
            </w:tcMar>
            <w:vAlign w:val="center"/>
          </w:tcPr>
          <w:p>
            <w:pPr>
              <w:pStyle w:val="TableContents"/>
              <w:widowControl w:val="false"/>
              <w:jc w:val="center"/>
              <w:rPr/>
            </w:pPr>
            <w:r>
              <w:rPr/>
              <w:t>NO</w:t>
            </w:r>
          </w:p>
        </w:tc>
        <w:tc>
          <w:tcPr>
            <w:tcW w:w="911" w:type="dxa"/>
            <w:tcBorders>
              <w:left w:val="single" w:sz="2" w:space="0" w:color="000000"/>
              <w:bottom w:val="single" w:sz="2" w:space="0" w:color="000000"/>
            </w:tcBorders>
            <w:shd w:fill="EEEEEE" w:val="clear"/>
            <w:tcMar>
              <w:left w:w="0" w:type="dxa"/>
              <w:bottom w:w="28" w:type="dxa"/>
            </w:tcMar>
            <w:vAlign w:val="center"/>
          </w:tcPr>
          <w:p>
            <w:pPr>
              <w:pStyle w:val="TableContents"/>
              <w:widowControl w:val="false"/>
              <w:jc w:val="center"/>
              <w:rPr>
                <w:b/>
                <w:b/>
                <w:bCs/>
              </w:rPr>
            </w:pPr>
            <w:r>
              <w:rPr>
                <w:b/>
                <w:bCs/>
              </w:rPr>
              <w:t>JSON   key</w:t>
            </w:r>
          </w:p>
        </w:tc>
        <w:tc>
          <w:tcPr>
            <w:tcW w:w="7202" w:type="dxa"/>
            <w:gridSpan w:val="2"/>
            <w:tcBorders>
              <w:left w:val="single" w:sz="2" w:space="0" w:color="000000"/>
              <w:bottom w:val="single" w:sz="2" w:space="0" w:color="000000"/>
              <w:right w:val="single" w:sz="2" w:space="0" w:color="000000"/>
            </w:tcBorders>
            <w:tcMar>
              <w:left w:w="0" w:type="dxa"/>
              <w:bottom w:w="28" w:type="dxa"/>
            </w:tcMar>
            <w:vAlign w:val="center"/>
          </w:tcPr>
          <w:p>
            <w:pPr>
              <w:pStyle w:val="TableContents"/>
              <w:widowControl w:val="false"/>
              <w:rPr/>
            </w:pPr>
            <w:r>
              <w:rPr/>
            </w:r>
          </w:p>
        </w:tc>
      </w:tr>
    </w:tbl>
    <w:p>
      <w:pPr>
        <w:pStyle w:val="Heading1"/>
        <w:rPr/>
      </w:pPr>
      <w:r>
        <w:br w:type="page"/>
      </w:r>
      <w:bookmarkStart w:id="94" w:name="__RefHeading___Toc2830_900569203"/>
      <w:bookmarkEnd w:id="94"/>
      <w:r>
        <w:rPr/>
        <w:t>JSON output</w:t>
      </w:r>
    </w:p>
    <w:p>
      <w:pPr>
        <w:pStyle w:val="TextBody"/>
        <w:rPr/>
      </w:pPr>
      <w:r>
        <w:rPr/>
        <w:t>This table combines information about which module is responsible for filling in which part of the JSON file.</w:t>
      </w:r>
    </w:p>
    <w:p>
      <w:pPr>
        <w:pStyle w:val="TextBody"/>
        <w:rPr/>
      </w:pPr>
      <w:r>
        <w:rPr/>
      </w:r>
    </w:p>
    <w:tbl>
      <w:tblPr>
        <w:tblW w:w="5000" w:type="pct"/>
        <w:jc w:val="left"/>
        <w:tblInd w:w="28" w:type="dxa"/>
        <w:tblLayout w:type="fixed"/>
        <w:tblCellMar>
          <w:top w:w="28" w:type="dxa"/>
          <w:left w:w="28" w:type="dxa"/>
          <w:bottom w:w="28" w:type="dxa"/>
          <w:right w:w="28" w:type="dxa"/>
        </w:tblCellMar>
      </w:tblPr>
      <w:tblGrid>
        <w:gridCol w:w="4364"/>
        <w:gridCol w:w="2636"/>
        <w:gridCol w:w="2638"/>
      </w:tblGrid>
      <w:tr>
        <w:trPr/>
        <w:tc>
          <w:tcPr>
            <w:tcW w:w="4364" w:type="dxa"/>
            <w:tcBorders/>
            <w:vAlign w:val="center"/>
          </w:tcPr>
          <w:p>
            <w:pPr>
              <w:pStyle w:val="TableContents"/>
              <w:widowControl w:val="false"/>
              <w:rPr>
                <w:b/>
                <w:b/>
                <w:bCs/>
              </w:rPr>
            </w:pPr>
            <w:r>
              <w:rPr>
                <w:b/>
                <w:bCs/>
              </w:rPr>
              <w:t>JSON keys</w:t>
            </w:r>
          </w:p>
        </w:tc>
        <w:tc>
          <w:tcPr>
            <w:tcW w:w="2636" w:type="dxa"/>
            <w:tcBorders/>
            <w:vAlign w:val="center"/>
          </w:tcPr>
          <w:p>
            <w:pPr>
              <w:pStyle w:val="TableContents"/>
              <w:widowControl w:val="false"/>
              <w:jc w:val="left"/>
              <w:rPr>
                <w:b/>
                <w:b/>
                <w:bCs/>
              </w:rPr>
            </w:pPr>
            <w:r>
              <w:rPr>
                <w:b/>
                <w:bCs/>
              </w:rPr>
              <w:t>Illumina</w:t>
            </w:r>
          </w:p>
        </w:tc>
        <w:tc>
          <w:tcPr>
            <w:tcW w:w="2638" w:type="dxa"/>
            <w:tcBorders/>
            <w:vAlign w:val="center"/>
          </w:tcPr>
          <w:p>
            <w:pPr>
              <w:pStyle w:val="TableContents"/>
              <w:widowControl w:val="false"/>
              <w:jc w:val="left"/>
              <w:rPr>
                <w:b/>
                <w:b/>
                <w:bCs/>
              </w:rPr>
            </w:pPr>
            <w:r>
              <w:rPr>
                <w:b/>
                <w:bCs/>
              </w:rPr>
              <w:t>Nanopore</w:t>
            </w:r>
          </w:p>
          <w:p>
            <w:pPr>
              <w:pStyle w:val="TableContents"/>
              <w:widowControl w:val="false"/>
              <w:jc w:val="left"/>
              <w:rPr>
                <w:b/>
                <w:b/>
                <w:bCs/>
                <w:sz w:val="14"/>
                <w:szCs w:val="14"/>
              </w:rPr>
            </w:pPr>
            <w:r>
              <w:rPr>
                <w:b/>
                <w:bCs/>
                <w:sz w:val="14"/>
                <w:szCs w:val="14"/>
              </w:rPr>
              <w:t>(if empty identical as illumina)</w:t>
            </w:r>
          </w:p>
        </w:tc>
      </w:tr>
      <w:tr>
        <w:trPr/>
        <w:tc>
          <w:tcPr>
            <w:tcW w:w="4364" w:type="dxa"/>
            <w:tcBorders/>
            <w:vAlign w:val="center"/>
          </w:tcPr>
          <w:p>
            <w:pPr>
              <w:pStyle w:val="TableContents"/>
              <w:widowControl w:val="false"/>
              <w:rPr/>
            </w:pPr>
            <w:r>
              <w:rPr/>
            </w:r>
          </w:p>
        </w:tc>
        <w:tc>
          <w:tcPr>
            <w:tcW w:w="2636" w:type="dxa"/>
            <w:tcBorders/>
            <w:vAlign w:val="center"/>
          </w:tcPr>
          <w:p>
            <w:pPr>
              <w:pStyle w:val="TableContents"/>
              <w:widowControl w:val="false"/>
              <w:rPr/>
            </w:pPr>
            <w:r>
              <w:rPr/>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w:t>
            </w:r>
          </w:p>
        </w:tc>
        <w:tc>
          <w:tcPr>
            <w:tcW w:w="2636" w:type="dxa"/>
            <w:tcBorders/>
            <w:vAlign w:val="center"/>
          </w:tcPr>
          <w:p>
            <w:pPr>
              <w:pStyle w:val="TableContents"/>
              <w:widowControl w:val="false"/>
              <w:rPr/>
            </w:pPr>
            <w:r>
              <w:rPr/>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"output": {</w:t>
            </w:r>
          </w:p>
        </w:tc>
        <w:tc>
          <w:tcPr>
            <w:tcW w:w="2636" w:type="dxa"/>
            <w:tcBorders/>
            <w:vAlign w:val="center"/>
          </w:tcPr>
          <w:p>
            <w:pPr>
              <w:pStyle w:val="TableContents"/>
              <w:widowControl w:val="false"/>
              <w:rPr/>
            </w:pPr>
            <w:r>
              <w:rPr/>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"pathogen": str</w:t>
            </w:r>
          </w:p>
        </w:tc>
        <w:tc>
          <w:tcPr>
            <w:tcW w:w="2636" w:type="dxa"/>
            <w:tcBorders/>
            <w:vAlign w:val="center"/>
          </w:tcPr>
          <w:p>
            <w:pPr>
              <w:pStyle w:val="TableContents"/>
              <w:widowControl w:val="false"/>
              <w:rPr/>
            </w:pPr>
            <w:r>
              <w:rPr/>
              <w:t>nf_pipeline_viral.nf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"pipeline_version": str</w:t>
            </w:r>
          </w:p>
        </w:tc>
        <w:tc>
          <w:tcPr>
            <w:tcW w:w="2636" w:type="dxa"/>
            <w:tcBorders/>
            <w:vAlign w:val="center"/>
          </w:tcPr>
          <w:p>
            <w:pPr>
              <w:pStyle w:val="TableContents"/>
              <w:widowControl w:val="false"/>
              <w:rPr/>
            </w:pPr>
            <w:r>
              <w:rPr/>
              <w:t>nf_pipeline_viral.nf</w:t>
            </w:r>
          </w:p>
        </w:tc>
        <w:tc>
          <w:tcPr>
            <w:tcW w:w="2638" w:type="dxa"/>
            <w:tcBorders/>
            <w:vAlign w:val="center"/>
          </w:tcPr>
          <w:p>
            <w:pPr>
              <w:pStyle w:val="TableContents"/>
              <w:widowControl w:val="false"/>
              <w:rPr/>
            </w:pPr>
            <w:r>
              <w:rPr/>
            </w:r>
          </w:p>
        </w:tc>
      </w:tr>
      <w:tr>
        <w:trPr>
          <w:trHeight w:val="182" w:hRule="atLeast"/>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"timestamp": str</w:t>
            </w:r>
          </w:p>
        </w:tc>
        <w:tc>
          <w:tcPr>
            <w:tcW w:w="2636" w:type="dxa"/>
            <w:tcBorders/>
            <w:vAlign w:val="center"/>
          </w:tcPr>
          <w:p>
            <w:pPr>
              <w:pStyle w:val="TableContents"/>
              <w:widowControl w:val="false"/>
              <w:rPr/>
            </w:pPr>
            <w:r>
              <w:rPr/>
              <w:t>json_aggegator.nf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"dehumanized_data": {}</w:t>
            </w:r>
          </w:p>
        </w:tc>
        <w:tc>
          <w:tcPr>
            <w:tcW w:w="2636" w:type="dxa"/>
            <w:tcBorders/>
            <w:vAlign w:val="center"/>
          </w:tcPr>
          <w:p>
            <w:pPr>
              <w:pStyle w:val="TableContents"/>
              <w:widowControl w:val="false"/>
              <w:rPr/>
            </w:pPr>
            <w:r>
              <w:rPr/>
              <w:t>dehumanization.nf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"genome_files_data": {}</w:t>
            </w:r>
          </w:p>
        </w:tc>
        <w:tc>
          <w:tcPr>
            <w:tcW w:w="2636" w:type="dxa"/>
            <w:tcBorders/>
            <w:vAlign w:val="center"/>
          </w:tcPr>
          <w:p>
            <w:pPr>
              <w:pStyle w:val="TableContents"/>
              <w:widowControl w:val="false"/>
              <w:rPr/>
            </w:pPr>
            <w:r>
              <w:rPr/>
              <w:t>manta.nf</w:t>
            </w:r>
          </w:p>
        </w:tc>
        <w:tc>
          <w:tcPr>
            <w:tcW w:w="2638" w:type="dxa"/>
            <w:tcBorders/>
            <w:vAlign w:val="center"/>
          </w:tcPr>
          <w:p>
            <w:pPr>
              <w:pStyle w:val="TableContents"/>
              <w:widowControl w:val="false"/>
              <w:rPr/>
            </w:pPr>
            <w:r>
              <w:rPr/>
              <w:t>consensus.nf</w:t>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"sequencing_summary_data": []</w:t>
            </w:r>
          </w:p>
        </w:tc>
        <w:tc>
          <w:tcPr>
            <w:tcW w:w="2636" w:type="dxa"/>
            <w:tcBorders/>
            <w:vAlign w:val="center"/>
          </w:tcPr>
          <w:p>
            <w:pPr>
              <w:pStyle w:val="TableContents"/>
              <w:widowControl w:val="false"/>
              <w:rPr/>
            </w:pPr>
            <w:r>
              <w:rPr/>
              <w:t>fastqc.nf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"contamination_data": []</w:t>
            </w:r>
          </w:p>
        </w:tc>
        <w:tc>
          <w:tcPr>
            <w:tcW w:w="2636" w:type="dxa"/>
            <w:tcBorders/>
            <w:vAlign w:val="center"/>
          </w:tcPr>
          <w:p>
            <w:pPr>
              <w:pStyle w:val="TableContents"/>
              <w:widowControl w:val="false"/>
              <w:rPr/>
            </w:pPr>
            <w:r>
              <w:rPr/>
              <w:t>kraken2.nf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"viral_genome_data": {}</w:t>
            </w:r>
          </w:p>
        </w:tc>
        <w:tc>
          <w:tcPr>
            <w:tcW w:w="2636" w:type="dxa"/>
            <w:tcBorders/>
            <w:vAlign w:val="center"/>
          </w:tcPr>
          <w:p>
            <w:pPr>
              <w:pStyle w:val="TableContents"/>
              <w:widowControl w:val="false"/>
              <w:rPr/>
            </w:pPr>
            <w:r>
              <w:rPr/>
              <w:t>picard_wgsMetrics.nf</w:t>
              <w:br/>
              <w:t>manta.nf</w:t>
            </w:r>
          </w:p>
        </w:tc>
        <w:tc>
          <w:tcPr>
            <w:tcW w:w="2638" w:type="dxa"/>
            <w:tcBorders/>
            <w:vAlign w:val="center"/>
          </w:tcPr>
          <w:p>
            <w:pPr>
              <w:pStyle w:val="TableContents"/>
              <w:widowControl w:val="false"/>
              <w:rPr/>
            </w:pPr>
            <w:r>
              <w:rPr/>
              <w:t>picard_wgsMetrics.nf</w:t>
              <w:br/>
              <w:t>consensus.nf</w:t>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"viral_classification_data": []</w:t>
            </w:r>
          </w:p>
        </w:tc>
        <w:tc>
          <w:tcPr>
            <w:tcW w:w="2636" w:type="dxa"/>
            <w:tcBorders/>
            <w:vAlign w:val="center"/>
          </w:tcPr>
          <w:p>
            <w:pPr>
              <w:pStyle w:val="TableContents"/>
              <w:widowControl w:val="false"/>
              <w:rPr/>
            </w:pPr>
            <w:r>
              <w:rPr/>
              <w:t>pangolin.nf</w:t>
            </w:r>
          </w:p>
          <w:p>
            <w:pPr>
              <w:pStyle w:val="TableContents"/>
              <w:widowControl w:val="false"/>
              <w:rPr/>
            </w:pPr>
            <w:r>
              <w:rPr/>
              <w:t>nextclade.nf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"viral_mapping_data": {}</w:t>
            </w:r>
          </w:p>
        </w:tc>
        <w:tc>
          <w:tcPr>
            <w:tcW w:w="2636" w:type="dxa"/>
            <w:tcBorders/>
            <w:vAlign w:val="center"/>
          </w:tcPr>
          <w:p>
            <w:pPr>
              <w:pStyle w:val="TableContents"/>
              <w:widowControl w:val="false"/>
              <w:rPr/>
            </w:pPr>
            <w:r>
              <w:rPr/>
              <w:t>bwa.nf</w:t>
            </w:r>
          </w:p>
        </w:tc>
        <w:tc>
          <w:tcPr>
            <w:tcW w:w="2638" w:type="dxa"/>
            <w:tcBorders/>
            <w:vAlign w:val="center"/>
          </w:tcPr>
          <w:p>
            <w:pPr>
              <w:pStyle w:val="TableContents"/>
              <w:widowControl w:val="false"/>
              <w:rPr/>
            </w:pPr>
            <w:r>
              <w:rPr/>
              <w:t>minimap2.nf</w:t>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"viral_mutation_data" []</w:t>
            </w:r>
          </w:p>
        </w:tc>
        <w:tc>
          <w:tcPr>
            <w:tcW w:w="2636" w:type="dxa"/>
            <w:tcBorders/>
            <w:vAlign w:val="center"/>
          </w:tcPr>
          <w:p>
            <w:pPr>
              <w:pStyle w:val="TableContents"/>
              <w:widowControl w:val="false"/>
              <w:rPr/>
            </w:pPr>
            <w:r>
              <w:rPr/>
              <w:t>snpEff.nf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"structural_data": {}</w:t>
            </w:r>
          </w:p>
        </w:tc>
        <w:tc>
          <w:tcPr>
            <w:tcW w:w="2636" w:type="dxa"/>
            <w:tcBorders/>
            <w:vAlign w:val="center"/>
          </w:tcPr>
          <w:p>
            <w:pPr>
              <w:pStyle w:val="TableContents"/>
              <w:widowControl w:val="false"/>
              <w:rPr/>
            </w:pPr>
            <w:r>
              <w:rPr/>
              <w:t>alphafold.nf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"sars_data": {}</w:t>
            </w:r>
          </w:p>
        </w:tc>
        <w:tc>
          <w:tcPr>
            <w:tcW w:w="2636" w:type="dxa"/>
            <w:tcBorders/>
            <w:vAlign w:val="center"/>
          </w:tcPr>
          <w:p>
            <w:pPr>
              <w:pStyle w:val="TableContents"/>
              <w:widowControl w:val="false"/>
              <w:rPr/>
            </w:pPr>
            <w:r>
              <w:rPr/>
              <w:t>coinfection_analysis.nf</w:t>
            </w:r>
          </w:p>
          <w:p>
            <w:pPr>
              <w:pStyle w:val="TableContents"/>
              <w:widowControl w:val="false"/>
              <w:rPr/>
            </w:pPr>
            <w:r>
              <w:rPr/>
              <w:t>freyja.nf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"infl_data": {}</w:t>
            </w:r>
          </w:p>
        </w:tc>
        <w:tc>
          <w:tcPr>
            <w:tcW w:w="2636" w:type="dxa"/>
            <w:tcBorders/>
            <w:vAlign w:val="center"/>
          </w:tcPr>
          <w:p>
            <w:pPr>
              <w:pStyle w:val="TableContents"/>
              <w:widowControl w:val="false"/>
              <w:rPr/>
            </w:pPr>
            <w:r>
              <w:rPr/>
              <w:t>reassortment.nf</w:t>
            </w:r>
          </w:p>
          <w:p>
            <w:pPr>
              <w:pStyle w:val="TableContents"/>
              <w:widowControl w:val="false"/>
              <w:rPr/>
            </w:pPr>
            <w:r>
              <w:rPr/>
              <w:t>resistance.nf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"rsv_data": {}</w:t>
            </w:r>
          </w:p>
        </w:tc>
        <w:tc>
          <w:tcPr>
            <w:tcW w:w="2636" w:type="dxa"/>
            <w:tcBorders/>
            <w:vAlign w:val="center"/>
          </w:tcPr>
          <w:p>
            <w:pPr>
              <w:pStyle w:val="TableContents"/>
              <w:widowControl w:val="false"/>
              <w:rPr/>
            </w:pPr>
            <w:r>
              <w:rPr/>
              <w:t>detect_type_rsv.nf</w:t>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 xml:space="preserve">  </w:t>
            </w:r>
            <w:r>
              <w:rPr>
                <w:rFonts w:ascii="DejaVu Sans Mono" w:hAnsi="DejaVu Sans Mono"/>
              </w:rPr>
              <w:t>}</w:t>
            </w:r>
          </w:p>
        </w:tc>
        <w:tc>
          <w:tcPr>
            <w:tcW w:w="2636" w:type="dxa"/>
            <w:tcBorders/>
            <w:vAlign w:val="center"/>
          </w:tcPr>
          <w:p>
            <w:pPr>
              <w:pStyle w:val="TableContents"/>
              <w:widowControl w:val="false"/>
              <w:rPr/>
            </w:pPr>
            <w:r>
              <w:rPr/>
            </w:r>
          </w:p>
        </w:tc>
        <w:tc>
          <w:tcPr>
            <w:tcW w:w="2638" w:type="dxa"/>
            <w:tcBorders/>
            <w:vAlign w:val="center"/>
          </w:tcPr>
          <w:p>
            <w:pPr>
              <w:pStyle w:val="TableContents"/>
              <w:widowControl w:val="false"/>
              <w:rPr/>
            </w:pPr>
            <w:r>
              <w:rPr/>
            </w:r>
          </w:p>
        </w:tc>
      </w:tr>
      <w:tr>
        <w:trPr/>
        <w:tc>
          <w:tcPr>
            <w:tcW w:w="4364" w:type="dxa"/>
            <w:tcBorders/>
            <w:vAlign w:val="center"/>
          </w:tcPr>
          <w:p>
            <w:pPr>
              <w:pStyle w:val="TableContents"/>
              <w:widowControl w:val="false"/>
              <w:rPr>
                <w:rFonts w:ascii="DejaVu Sans Mono" w:hAnsi="DejaVu Sans Mono"/>
              </w:rPr>
            </w:pPr>
            <w:r>
              <w:rPr>
                <w:rFonts w:ascii="DejaVu Sans Mono" w:hAnsi="DejaVu Sans Mono"/>
              </w:rPr>
              <w:t>}</w:t>
            </w:r>
          </w:p>
        </w:tc>
        <w:tc>
          <w:tcPr>
            <w:tcW w:w="2636" w:type="dxa"/>
            <w:tcBorders/>
            <w:vAlign w:val="center"/>
          </w:tcPr>
          <w:p>
            <w:pPr>
              <w:pStyle w:val="TableContents"/>
              <w:widowControl w:val="false"/>
              <w:rPr/>
            </w:pPr>
            <w:r>
              <w:rPr/>
            </w:r>
          </w:p>
        </w:tc>
        <w:tc>
          <w:tcPr>
            <w:tcW w:w="2638" w:type="dxa"/>
            <w:tcBorders/>
            <w:vAlign w:val="center"/>
          </w:tcPr>
          <w:p>
            <w:pPr>
              <w:pStyle w:val="TableContents"/>
              <w:widowControl w:val="false"/>
              <w:rPr/>
            </w:pPr>
            <w:r>
              <w:rPr/>
            </w:r>
          </w:p>
        </w:tc>
      </w:tr>
    </w:tbl>
    <w:p>
      <w:pPr>
        <w:pStyle w:val="TableContents"/>
        <w:rPr/>
      </w:pPr>
      <w:r>
        <w:rPr/>
      </w:r>
    </w:p>
    <w:sectPr>
      <w:footerReference w:type="default" r:id="rId34"/>
      <w:type w:val="nextPage"/>
      <w:pgSz w:w="11906" w:h="16838"/>
      <w:pgMar w:left="1134" w:right="1134" w:gutter="0" w:header="0" w:top="1134" w:footer="1134" w:bottom="1603"/>
      <w:pgNumType w:fmt="decimal"/>
      <w:formProt w:val="false"/>
      <w:textDirection w:val="lrTb"/>
      <w:docGrid w:type="default" w:linePitch="312"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jaVu Sans">
    <w:charset w:val="01"/>
    <w:family w:val="roman"/>
    <w:pitch w:val="variable"/>
  </w:font>
  <w:font w:name="DejaVu Sans Mono">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Light">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tab/>
      <w:t xml:space="preserve">Page </w:t>
    </w:r>
    <w:r>
      <w:rPr/>
      <w:fldChar w:fldCharType="begin"/>
    </w:r>
    <w:r>
      <w:rPr/>
      <w:instrText xml:space="preserve"> PAGE </w:instrText>
    </w:r>
    <w:r>
      <w:rPr/>
      <w:fldChar w:fldCharType="separate"/>
    </w:r>
    <w:r>
      <w:rPr/>
      <w:t>70</w:t>
    </w:r>
    <w:r>
      <w:rPr/>
      <w:fldChar w:fldCharType="end"/>
    </w:r>
    <w:r>
      <w:rPr/>
      <w:t xml:space="preserve"> out of </w:t>
    </w:r>
    <w:r>
      <w:rPr/>
      <w:fldChar w:fldCharType="begin"/>
    </w:r>
    <w:r>
      <w:rPr/>
      <w:instrText xml:space="preserve"> NUMPAGES </w:instrText>
    </w:r>
    <w:r>
      <w:rPr/>
      <w:fldChar w:fldCharType="separate"/>
    </w:r>
    <w:r>
      <w:rPr/>
      <w:t>73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ter %1."/>
      <w:lvlJc w:val="left"/>
      <w:pPr>
        <w:tabs>
          <w:tab w:val="num" w:pos="0"/>
        </w:tabs>
        <w:ind w:left="0" w:hanging="0"/>
      </w:pPr>
      <w:rPr/>
    </w:lvl>
    <w:lvl w:ilvl="1">
      <w:start w:val="1"/>
      <w:pStyle w:val="Heading2"/>
      <w:numFmt w:val="decimal"/>
      <w:suff w:val="space"/>
      <w:lvlText w:val="%1.%2."/>
      <w:lvlJc w:val="left"/>
      <w:pPr>
        <w:tabs>
          <w:tab w:val="num" w:pos="0"/>
        </w:tabs>
        <w:ind w:left="0" w:hanging="0"/>
      </w:pPr>
      <w:rPr/>
    </w:lvl>
    <w:lvl w:ilvl="2">
      <w:start w:val="1"/>
      <w:pStyle w:val="Heading3"/>
      <w:numFmt w:val="decimal"/>
      <w:suff w:val="space"/>
      <w:lvlText w:val="%1.%2.%3."/>
      <w:lvlJc w:val="left"/>
      <w:pPr>
        <w:tabs>
          <w:tab w:val="num" w:pos="0"/>
        </w:tabs>
        <w:ind w:left="0" w:hanging="0"/>
      </w:pPr>
      <w:rPr/>
    </w:lvl>
    <w:lvl w:ilvl="3">
      <w:start w:val="1"/>
      <w:pStyle w:val="Heading4"/>
      <w:numFmt w:val="decimal"/>
      <w:suff w:val="space"/>
      <w:lvlText w:val="%1.%2.%3.%4."/>
      <w:lvlJc w:val="left"/>
      <w:pPr>
        <w:tabs>
          <w:tab w:val="num" w:pos="0"/>
        </w:tabs>
        <w:ind w:left="0" w:hanging="0"/>
      </w:pPr>
      <w:rPr/>
    </w:lvl>
    <w:lvl w:ilvl="4">
      <w:start w:val="1"/>
      <w:pStyle w:val="Heading5"/>
      <w:numFmt w:val="decimal"/>
      <w:suff w:val="space"/>
      <w:lvlText w:val="%1.%2.%3.%4.%5."/>
      <w:lvlJc w:val="left"/>
      <w:pPr>
        <w:tabs>
          <w:tab w:val="num" w:pos="0"/>
        </w:tabs>
        <w:ind w:left="0" w:hanging="0"/>
      </w:pPr>
      <w:rPr/>
    </w:lvl>
    <w:lvl w:ilvl="5">
      <w:start w:val="1"/>
      <w:pStyle w:val="Heading6"/>
      <w:numFmt w:val="decimal"/>
      <w:suff w:val="space"/>
      <w:lvlText w:val="%1.%2.%3.%4.%5.%6."/>
      <w:lvlJc w:val="left"/>
      <w:pPr>
        <w:tabs>
          <w:tab w:val="num" w:pos="0"/>
        </w:tabs>
        <w:ind w:left="0" w:hanging="0"/>
      </w:pPr>
      <w:rPr/>
    </w:lvl>
    <w:lvl w:ilvl="6">
      <w:start w:val="1"/>
      <w:pStyle w:val="Heading7"/>
      <w:numFmt w:val="decimal"/>
      <w:suff w:val="space"/>
      <w:lvlText w:val="%1.%2.%3.%4.%5.%6.%7."/>
      <w:lvlJc w:val="left"/>
      <w:pPr>
        <w:tabs>
          <w:tab w:val="num" w:pos="0"/>
        </w:tabs>
        <w:ind w:left="0" w:hanging="0"/>
      </w:pPr>
      <w:rPr/>
    </w:lvl>
    <w:lvl w:ilvl="7">
      <w:start w:val="1"/>
      <w:pStyle w:val="Heading8"/>
      <w:numFmt w:val="decimal"/>
      <w:suff w:val="space"/>
      <w:lvlText w:val="%1.%2.%3.%4.%5.%6.%7.%8."/>
      <w:lvlJc w:val="left"/>
      <w:pPr>
        <w:tabs>
          <w:tab w:val="num" w:pos="0"/>
        </w:tabs>
        <w:ind w:left="0" w:hanging="0"/>
      </w:pPr>
      <w:rPr/>
    </w:lvl>
    <w:lvl w:ilvl="8">
      <w:start w:val="1"/>
      <w:pStyle w:val="Heading9"/>
      <w:numFmt w:val="decimal"/>
      <w:suff w:val="space"/>
      <w:lvlText w:val="%1.%2.%3.%4.%5.%6.%7.%8.%9."/>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val="bestFit" w:percent="115"/>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DejaVu Sans" w:hAnsi="DejaVu Sans" w:eastAsia="Noto Serif CJK SC" w:cs="Noto Sans Devanagari"/>
      <w:color w:val="auto"/>
      <w:kern w:val="2"/>
      <w:sz w:val="22"/>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Path">
    <w:name w:val="path"/>
    <w:qFormat/>
    <w:rPr>
      <w:rFonts w:ascii="DejaVu Sans Mono" w:hAnsi="DejaVu Sans Mono"/>
      <w:sz w:val="22"/>
      <w:bdr w:val="single" w:sz="2" w:space="0" w:color="DDDDDD"/>
    </w:rPr>
  </w:style>
  <w:style w:type="character" w:styleId="Code">
    <w:name w:val="code"/>
    <w:qFormat/>
    <w:rPr>
      <w:color w:val="000000"/>
      <w:bdr w:val="single" w:sz="2" w:space="1" w:color="808080"/>
      <w:shd w:fill="EEEEEE" w:val="clear"/>
    </w:rPr>
  </w:style>
  <w:style w:type="character" w:styleId="Teletype">
    <w:name w:val="Teletype"/>
    <w:qFormat/>
    <w:rPr>
      <w:rFonts w:ascii="Liberation Mono" w:hAnsi="Liberation Mono" w:eastAsia="Noto Sans Mono CJK SC" w:cs="Liberation Mono"/>
    </w:rPr>
  </w:style>
  <w:style w:type="character" w:styleId="VisitedInternetLink">
    <w:name w:val="FollowedHyperlink"/>
    <w:rPr>
      <w:color w:val="80000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DejaVu Sans Light" w:hAnsi="DejaVu Sans Light" w:eastAsia="Noto Sans CJK SC" w:cs="Noto Sans Devanagari"/>
      <w:b/>
      <w:sz w:val="28"/>
      <w:szCs w:val="28"/>
    </w:rPr>
  </w:style>
  <w:style w:type="paragraph" w:styleId="TextBody">
    <w:name w:val="Body Text"/>
    <w:basedOn w:val="Normal"/>
    <w:pPr>
      <w:spacing w:lineRule="auto" w:line="276" w:before="0" w:after="140"/>
    </w:pPr>
    <w:rPr/>
  </w:style>
  <w:style w:type="paragraph" w:styleId="List">
    <w:name w:val="List"/>
    <w:basedOn w:val="TextBody"/>
    <w:pPr>
      <w:spacing w:lineRule="auto" w:line="276" w:before="0" w:after="0"/>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sz w:val="20"/>
    </w:rPr>
  </w:style>
  <w:style w:type="paragraph" w:styleId="Title">
    <w:name w:val="Title"/>
    <w:basedOn w:val="Heading"/>
    <w:next w:val="TextBody"/>
    <w:qFormat/>
    <w:pPr>
      <w:jc w:val="left"/>
    </w:pPr>
    <w:rPr>
      <w:rFonts w:ascii="DejaVu Sans Light" w:hAnsi="DejaVu Sans Light"/>
      <w:b/>
      <w:bCs/>
      <w:sz w:val="56"/>
      <w:szCs w:val="56"/>
    </w:rPr>
  </w:style>
  <w:style w:type="paragraph" w:styleId="Subtitle">
    <w:name w:val="Subtitle"/>
    <w:basedOn w:val="Heading"/>
    <w:next w:val="TextBody"/>
    <w:qFormat/>
    <w:pPr>
      <w:spacing w:before="60" w:after="120"/>
      <w:jc w:val="left"/>
    </w:pPr>
    <w:rPr>
      <w:sz w:val="36"/>
      <w:szCs w:val="36"/>
    </w:rPr>
  </w:style>
  <w:style w:type="paragraph" w:styleId="Authors">
    <w:name w:val="Authors"/>
    <w:basedOn w:val="Normal"/>
    <w:qFormat/>
    <w:pPr/>
    <w:rPr>
      <w:color w:val="666666"/>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HeaderandFooter">
    <w:name w:val="Header and Footer"/>
    <w:basedOn w:val="Normal"/>
    <w:qFormat/>
    <w:pPr>
      <w:suppressLineNumbers/>
      <w:tabs>
        <w:tab w:val="clear" w:pos="643"/>
        <w:tab w:val="center" w:pos="4819" w:leader="none"/>
        <w:tab w:val="right" w:pos="9638" w:leader="none"/>
      </w:tabs>
    </w:pPr>
    <w:rPr/>
  </w:style>
  <w:style w:type="paragraph" w:styleId="Footer">
    <w:name w:val="Footer"/>
    <w:basedOn w:val="HeaderandFooter"/>
    <w:pPr>
      <w:suppressLineNumbers/>
    </w:pPr>
    <w:rPr>
      <w:sz w:val="16"/>
    </w:rPr>
  </w:style>
  <w:style w:type="paragraph" w:styleId="Contents1">
    <w:name w:val="TOC 1"/>
    <w:basedOn w:val="Index"/>
    <w:pPr>
      <w:tabs>
        <w:tab w:val="clear" w:pos="643"/>
        <w:tab w:val="right" w:pos="9638" w:leader="dot"/>
      </w:tabs>
      <w:ind w:left="0" w:right="0" w:hanging="0"/>
    </w:pPr>
    <w:rPr/>
  </w:style>
  <w:style w:type="paragraph" w:styleId="ListBullet3">
    <w:name w:val="List Bullet 3"/>
    <w:basedOn w:val="List"/>
    <w:qFormat/>
    <w:pPr>
      <w:spacing w:before="0" w:after="0"/>
      <w:ind w:left="360" w:right="0" w:hanging="360"/>
    </w:pPr>
    <w:rPr/>
  </w:style>
  <w:style w:type="paragraph" w:styleId="Codebox">
    <w:name w:val="code-box"/>
    <w:basedOn w:val="Normal"/>
    <w:qFormat/>
    <w:pPr>
      <w:pBdr>
        <w:top w:val="single" w:sz="2" w:space="6" w:color="CCCCCC"/>
        <w:left w:val="single" w:sz="2" w:space="6" w:color="CCCCCC"/>
        <w:bottom w:val="single" w:sz="2" w:space="6" w:color="CCCCCC"/>
        <w:right w:val="single" w:sz="2" w:space="6" w:color="CCCCCC"/>
      </w:pBdr>
      <w:shd w:val="clear" w:fill="EEEEEE"/>
      <w:spacing w:before="57" w:after="57"/>
    </w:pPr>
    <w:rPr>
      <w:rFonts w:ascii="DejaVu Sans Mono" w:hAnsi="DejaVu Sans Mono"/>
      <w:sz w:val="18"/>
    </w:rPr>
  </w:style>
  <w:style w:type="paragraph" w:styleId="Heading1nonumbering">
    <w:name w:val="Heading1 - nonumbering"/>
    <w:basedOn w:val="Heading1"/>
    <w:qFormat/>
    <w:pPr>
      <w:numPr>
        <w:ilvl w:val="0"/>
        <w:numId w:val="0"/>
      </w:numPr>
    </w:pPr>
    <w:rPr/>
  </w:style>
  <w:style w:type="paragraph" w:styleId="Contents2">
    <w:name w:val="TOC 2"/>
    <w:basedOn w:val="Index"/>
    <w:pPr>
      <w:tabs>
        <w:tab w:val="clear" w:pos="643"/>
        <w:tab w:val="right" w:pos="9355" w:leader="dot"/>
      </w:tabs>
      <w:ind w:left="283" w:right="0" w:hanging="0"/>
    </w:pPr>
    <w:rPr/>
  </w:style>
  <w:style w:type="paragraph" w:styleId="Header">
    <w:name w:val="Header"/>
    <w:basedOn w:val="HeaderandFooter"/>
    <w:pPr>
      <w:suppressLineNumbers/>
    </w:pPr>
    <w:rPr/>
  </w:style>
  <w:style w:type="paragraph" w:styleId="Boxes">
    <w:name w:val="boxes"/>
    <w:basedOn w:val="Normal"/>
    <w:qFormat/>
    <w:pPr/>
    <w:rPr/>
  </w:style>
  <w:style w:type="paragraph" w:styleId="Infobox">
    <w:name w:val="info-box"/>
    <w:basedOn w:val="Boxes"/>
    <w:qFormat/>
    <w:pPr>
      <w:suppressLineNumbers/>
      <w:pBdr>
        <w:top w:val="single" w:sz="2" w:space="14" w:color="81D41A"/>
        <w:left w:val="single" w:sz="2" w:space="14" w:color="81D41A"/>
        <w:bottom w:val="single" w:sz="2" w:space="14" w:color="81D41A"/>
        <w:right w:val="single" w:sz="2" w:space="14" w:color="81D41A"/>
      </w:pBdr>
      <w:shd w:val="clear" w:fill="DDE8CB"/>
      <w:ind w:left="1134" w:right="1134" w:hanging="0"/>
    </w:pPr>
    <w:rPr/>
  </w:style>
  <w:style w:type="paragraph" w:styleId="Highlights">
    <w:name w:val="highlights"/>
    <w:basedOn w:val="Normal"/>
    <w:qFormat/>
    <w:pPr>
      <w:pBdr>
        <w:left w:val="single" w:sz="36" w:space="6" w:color="000000"/>
      </w:pBdr>
      <w:spacing w:before="170" w:after="170"/>
      <w:ind w:left="170" w:right="170" w:hanging="0"/>
    </w:pPr>
    <w:rPr/>
  </w:style>
  <w:style w:type="paragraph" w:styleId="Tip">
    <w:name w:val="tip"/>
    <w:basedOn w:val="Highlights"/>
    <w:qFormat/>
    <w:pPr>
      <w:pBdr>
        <w:left w:val="single" w:sz="36" w:space="6" w:color="00A933"/>
      </w:pBdr>
      <w:shd w:val="clear" w:fill="E5FFE1"/>
      <w:ind w:left="0" w:right="0" w:hanging="0"/>
    </w:pPr>
    <w:rPr>
      <w:color w:val="127622"/>
    </w:rPr>
  </w:style>
  <w:style w:type="paragraph" w:styleId="Info">
    <w:name w:val="info"/>
    <w:basedOn w:val="Highlights"/>
    <w:qFormat/>
    <w:pPr>
      <w:pBdr>
        <w:left w:val="single" w:sz="36" w:space="6" w:color="1C99E0"/>
      </w:pBdr>
      <w:shd w:val="clear" w:fill="AADCF7"/>
    </w:pPr>
    <w:rPr>
      <w:color w:val="023F62"/>
    </w:rPr>
  </w:style>
  <w:style w:type="paragraph" w:styleId="Contents3">
    <w:name w:val="TOC 3"/>
    <w:basedOn w:val="Index"/>
    <w:pPr>
      <w:tabs>
        <w:tab w:val="clear" w:pos="643"/>
        <w:tab w:val="right" w:pos="9071" w:leader="dot"/>
      </w:tabs>
      <w:ind w:left="567" w:right="0" w:hanging="0"/>
    </w:pPr>
    <w:rPr/>
  </w:style>
  <w:style w:type="paragraph" w:styleId="TableContents">
    <w:name w:val="Table Contents"/>
    <w:basedOn w:val="Normal"/>
    <w:qFormat/>
    <w:pPr>
      <w:widowControl w:val="false"/>
      <w:suppressLineNumbers/>
    </w:pPr>
    <w:rPr>
      <w:sz w:val="18"/>
    </w:rPr>
  </w:style>
  <w:style w:type="paragraph" w:styleId="Warn">
    <w:name w:val="warn"/>
    <w:basedOn w:val="Highlights"/>
    <w:qFormat/>
    <w:pPr>
      <w:pBdr>
        <w:left w:val="single" w:sz="36" w:space="6" w:color="FF0000"/>
      </w:pBdr>
      <w:shd w:val="clear" w:fill="FFD7D7"/>
    </w:pPr>
    <w:rPr>
      <w:color w:val="FF0000"/>
    </w:rPr>
  </w:style>
  <w:style w:type="paragraph" w:styleId="Figure">
    <w:name w:val="Figure"/>
    <w:basedOn w:val="Caption"/>
    <w:qFormat/>
    <w:pPr/>
    <w:rPr/>
  </w:style>
  <w:style w:type="paragraph" w:styleId="Heading10">
    <w:name w:val="Heading 10"/>
    <w:basedOn w:val="Heading"/>
    <w:next w:val="TextBody"/>
    <w:qFormat/>
    <w:pPr>
      <w:spacing w:before="60" w:after="60"/>
      <w:outlineLvl w:val="8"/>
    </w:pPr>
    <w:rPr>
      <w:b/>
      <w:bCs/>
      <w:sz w:val="18"/>
      <w:szCs w:val="18"/>
    </w:rPr>
  </w:style>
  <w:style w:type="paragraph" w:styleId="TableHeading">
    <w:name w:val="Table Heading"/>
    <w:basedOn w:val="TableContents"/>
    <w:qFormat/>
    <w:pPr>
      <w:suppressLineNumbers/>
      <w:jc w:val="center"/>
    </w:pPr>
    <w:rPr>
      <w:b/>
      <w:bCs/>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docker.com/desktop/install/linux-install/" TargetMode="External"/><Relationship Id="rId4" Type="http://schemas.openxmlformats.org/officeDocument/2006/relationships/hyperlink" Target="https://salilab.org/modeller/registration.html" TargetMode="External"/><Relationship Id="rId5" Type="http://schemas.openxmlformats.org/officeDocument/2006/relationships/hyperlink" Target="https://benlangmead.github.io/aws-indexes/k2" TargetMode="External"/><Relationship Id="rId6" Type="http://schemas.openxmlformats.org/officeDocument/2006/relationships/hyperlink" Target="https://www.nextflow.io/docs/latest/index.html" TargetMode="External"/><Relationship Id="rId7" Type="http://schemas.openxmlformats.org/officeDocument/2006/relationships/hyperlink" Target="https://www.docker.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docs.nextstrain.org/projects/nextclade/" TargetMode="External"/><Relationship Id="rId15" Type="http://schemas.openxmlformats.org/officeDocument/2006/relationships/hyperlink" Target="https://docs.nextstrain.org/projects/nextclade/en/stable/user/datasets.html" TargetMode="External"/><Relationship Id="rId16" Type="http://schemas.openxmlformats.org/officeDocument/2006/relationships/hyperlink" Target="https://data.clades.nextstrain.org/v3/index.json" TargetMode="External"/><Relationship Id="rId17" Type="http://schemas.openxmlformats.org/officeDocument/2006/relationships/hyperlink" Target="https://github.com/nextstrain/nextclade_data/tree/master/data/nextstrain/sars-cov-2/wuhan-hu-1/orfs" TargetMode="External"/><Relationship Id="rId18" Type="http://schemas.openxmlformats.org/officeDocument/2006/relationships/hyperlink" Target="https://github.com/cov-lineages/pangolin" TargetMode="External"/><Relationship Id="rId19" Type="http://schemas.openxmlformats.org/officeDocument/2006/relationships/hyperlink" Target="https://github.com/cov-lineages/pangolin-data" TargetMode="External"/><Relationship Id="rId20" Type="http://schemas.openxmlformats.org/officeDocument/2006/relationships/hyperlink" Target="https://github.com/cov-lineages/pangolin-data/tags" TargetMode="External"/><Relationship Id="rId21" Type="http://schemas.openxmlformats.org/officeDocument/2006/relationships/hyperlink" Target="https://ccb.jhu.edu/software/kraken2/" TargetMode="External"/><Relationship Id="rId22" Type="http://schemas.openxmlformats.org/officeDocument/2006/relationships/hyperlink" Target="https://github.com/BenLangmead/aws-indexes" TargetMode="External"/><Relationship Id="rId23" Type="http://schemas.openxmlformats.org/officeDocument/2006/relationships/hyperlink" Target="https://benlangmead.github.io/aws-indexes/" TargetMode="External"/><Relationship Id="rId24" Type="http://schemas.openxmlformats.org/officeDocument/2006/relationships/hyperlink" Target="https://benlangmead.github.io/aws-indexes/k2" TargetMode="External"/><Relationship Id="rId25" Type="http://schemas.openxmlformats.org/officeDocument/2006/relationships/hyperlink" Target="https://benlangmead.github.io/aws-indexes/k2" TargetMode="External"/><Relationship Id="rId26" Type="http://schemas.openxmlformats.org/officeDocument/2006/relationships/hyperlink" Target="https://andersen-lab.github.io/Freyja/index.html" TargetMode="External"/><Relationship Id="rId27" Type="http://schemas.openxmlformats.org/officeDocument/2006/relationships/hyperlink" Target="https://github.com/andersen-lab/Freyja-data" TargetMode="External"/><Relationship Id="rId28" Type="http://schemas.openxmlformats.org/officeDocument/2006/relationships/hyperlink" Target="https://github.com/mkadlof/pzh_pipeline_viral/issues/19" TargetMode="External"/><Relationship Id="rId29" Type="http://schemas.openxmlformats.org/officeDocument/2006/relationships/hyperlink" Target="https://andersen-lab.github.io/Freyja/index.html" TargetMode="External"/><Relationship Id="rId30" Type="http://schemas.openxmlformats.org/officeDocument/2006/relationships/hyperlink" Target="./uses%20a%20probabilistic%20model%20to%20detect%20low-frequency%20variants%20from%20high-throughput%20sequencing%20data,%20optimizing%20for%20sensitivity%20in%20the%20presence%20of%20sequencing%20errors." TargetMode="External"/><Relationship Id="rId31" Type="http://schemas.openxmlformats.org/officeDocument/2006/relationships/hyperlink" Target="https://github.com/Illumina/manta" TargetMode="External"/><Relationship Id="rId32" Type="http://schemas.openxmlformats.org/officeDocument/2006/relationships/hyperlink" Target="https://www.who.int/publications/m/item/summary-of-neuraminidase-(na)-amino-acid-substitutions-associated-with-reduced-inhibition-by-neuraminidase-inhibitors-(nais)" TargetMode="External"/><Relationship Id="rId33" Type="http://schemas.openxmlformats.org/officeDocument/2006/relationships/hyperlink" Target="https://www.who.int/publications/m/item/summary-of-polymerase-acidic-(pa)-protein-amino-acid-substitutions-analysed-for-their-effects-on-baloxavir-susceptibility"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1257</TotalTime>
  <Application>LibreOffice/7.4.7.2$Linux_X86_64 LibreOffice_project/40$Build-2</Application>
  <AppVersion>15.0000</AppVersion>
  <Pages>73</Pages>
  <Words>9796</Words>
  <Characters>59814</Characters>
  <CharactersWithSpaces>71947</CharactersWithSpaces>
  <Paragraphs>1477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2025-01-07T09:28:00Z</dcterms:created>
  <dc:creator/>
  <dc:description/>
  <dc:language>pl-PL</dc:language>
  <cp:lastModifiedBy/>
  <dcterms:modified xsi:type="dcterms:W3CDTF">2025-01-15T14:40:41Z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