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1B3A5C"/>
          <w:sz w:val="48"/>
          <w:szCs w:val="48"/>
        </w:rPr>
        <w:t xml:space="preserve">Testing Framework for</w:t>
      </w:r>
    </w:p>
    <w:p>
      <w:pPr>
        <w:spacing w:after="200"/>
        <w:jc w:val="center"/>
      </w:pPr>
      <w:r>
        <w:rPr>
          <w:rFonts w:ascii="Arial" w:cs="Arial" w:eastAsia="Arial" w:hAnsi="Arial"/>
          <w:b/>
          <w:bCs/>
          <w:color w:val="1B3A5C"/>
          <w:sz w:val="48"/>
          <w:szCs w:val="48"/>
        </w:rPr>
        <w:t xml:space="preserve">Agentic AI Evaluation &amp;</w:t>
      </w:r>
    </w:p>
    <w:p>
      <w:pPr>
        <w:spacing w:after="400"/>
        <w:jc w:val="center"/>
      </w:pPr>
      <w:r>
        <w:rPr>
          <w:rFonts w:ascii="Arial" w:cs="Arial" w:eastAsia="Arial" w:hAnsi="Arial"/>
          <w:b/>
          <w:bCs/>
          <w:color w:val="1B3A5C"/>
          <w:sz w:val="48"/>
          <w:szCs w:val="48"/>
        </w:rPr>
        <w:t xml:space="preserve">Security Guardrails</w:t>
      </w:r>
    </w:p>
    <w:p>
      <w:pPr>
        <w:pBdr>
          <w:top w:val="single" w:color="2E75B6" w:sz="6" w:space="8"/>
        </w:pBdr>
        <w:spacing w:before="200" w:after="120"/>
        <w:jc w:val="center"/>
      </w:pPr>
      <w:r>
        <w:rPr>
          <w:rFonts w:ascii="Arial" w:cs="Arial" w:eastAsia="Arial" w:hAnsi="Arial"/>
          <w:i/>
          <w:iCs/>
          <w:color w:val="555555"/>
          <w:sz w:val="26"/>
          <w:szCs w:val="26"/>
        </w:rPr>
        <w:t xml:space="preserve">Agent Reasoning, Safety, and Security Assessment</w:t>
      </w:r>
    </w:p>
    <w:p>
      <w:pPr>
        <w:spacing w:before="1200"/>
        <w:jc w:val="center"/>
      </w:pPr>
      <w:r>
        <w:rPr>
          <w:rFonts w:ascii="Arial" w:cs="Arial" w:eastAsia="Arial" w:hAnsi="Arial"/>
          <w:color w:val="666666"/>
          <w:sz w:val="22"/>
          <w:szCs w:val="22"/>
        </w:rPr>
        <w:t xml:space="preserve">Reference Guide with Industry Frameworks, Research Papers,</w:t>
      </w:r>
    </w:p>
    <w:p>
      <w:pPr>
        <w:spacing w:after="400"/>
        <w:jc w:val="center"/>
      </w:pPr>
      <w:r>
        <w:rPr>
          <w:rFonts w:ascii="Arial" w:cs="Arial" w:eastAsia="Arial" w:hAnsi="Arial"/>
          <w:color w:val="666666"/>
          <w:sz w:val="22"/>
          <w:szCs w:val="22"/>
        </w:rPr>
        <w:t xml:space="preserve">Products, Benchmarks, and Implementation Patterns</w:t>
      </w:r>
    </w:p>
    <w:p>
      <w:pPr>
        <w:spacing w:before="600"/>
        <w:jc w:val="center"/>
      </w:pPr>
      <w:r>
        <w:rPr>
          <w:rFonts w:ascii="Arial" w:cs="Arial" w:eastAsia="Arial" w:hAnsi="Arial"/>
          <w:color w:val="888888"/>
          <w:sz w:val="24"/>
          <w:szCs w:val="24"/>
        </w:rPr>
        <w:t xml:space="preserve">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 Why Agentic AI Needs a New Testing Paradigm</w:t>
      </w:r>
    </w:p>
    <w:p>
      <w:pPr>
        <w:spacing w:after="120" w:line="276"/>
      </w:pPr>
      <w:r>
        <w:rPr>
          <w:rFonts w:ascii="Arial" w:cs="Arial" w:eastAsia="Arial" w:hAnsi="Arial"/>
          <w:sz w:val="22"/>
          <w:szCs w:val="22"/>
        </w:rPr>
        <w:t xml:space="preserve">As AI systems evolve from static prompt-response models into autonomous agents capable of reasoning, planning, and executing multi-step tasks, the evaluation and security landscape must fundamentally change. Traditional LLM benchmarks that measure output quality against ground truth are insufficient for systems that chain tool calls, maintain memory across sessions, and make independent decisions in complex environments.</w:t>
      </w:r>
    </w:p>
    <w:p>
      <w:pPr>
        <w:spacing w:after="120" w:line="276"/>
      </w:pPr>
      <w:r>
        <w:rPr>
          <w:rFonts w:ascii="Arial" w:cs="Arial" w:eastAsia="Arial" w:hAnsi="Arial"/>
          <w:sz w:val="22"/>
          <w:szCs w:val="22"/>
        </w:rPr>
        <w:t xml:space="preserve">The shift to agentic AI introduces non-deterministic, multi-step behaviors where identical inputs can produce different reasoning paths, tool selections, and outcomes. A MontyCloud production deployment revealed that while agents completed tasks, deviations from expected policies or validation flows went undetected by existing assessment methods, surfacing only during runtime rather than in static validation phases (Akshathala et al., 2025). Amazon reports thousands of agents built across its organizations since 2025, with traditional evaluation methods failing to provide insights into why agents fail or pinpoint root causes.</w:t>
      </w:r>
    </w:p>
    <w:p>
      <w:pPr>
        <w:spacing w:after="120" w:line="276"/>
      </w:pPr>
      <w:r>
        <w:rPr>
          <w:rFonts w:ascii="Arial" w:cs="Arial" w:eastAsia="Arial" w:hAnsi="Arial"/>
          <w:sz w:val="22"/>
          <w:szCs w:val="22"/>
        </w:rPr>
        <w:t xml:space="preserve">This document provides a comprehensive reference for building testing frameworks that address two critical dimensions: evaluating agent reasoning quality and correctness, and enforcing security guardrails that contain autonomous behavior within safe boundaries. It draws from academic research, industry frameworks, open-source tools, commercial products, and real-world deployment lessons.</w:t>
      </w:r>
    </w:p>
    <w:p>
      <w:r>
        <w:br w:type="page"/>
      </w:r>
    </w:p>
    <w:p>
      <w:pPr>
        <w:pStyle w:val="Heading1"/>
      </w:pPr>
      <w:r>
        <w:rPr>
          <w:rFonts w:ascii="Arial" w:cs="Arial" w:eastAsia="Arial" w:hAnsi="Arial"/>
        </w:rPr>
        <w:t xml:space="preserve">2. Evaluation Framework Landscape</w:t>
      </w:r>
    </w:p>
    <w:p>
      <w:pPr>
        <w:pStyle w:val="Heading2"/>
      </w:pPr>
      <w:r>
        <w:rPr>
          <w:rFonts w:ascii="Arial" w:cs="Arial" w:eastAsia="Arial" w:hAnsi="Arial"/>
        </w:rPr>
        <w:t xml:space="preserve">2.1 The Three-Layer Evaluation Model</w:t>
      </w:r>
    </w:p>
    <w:p>
      <w:pPr>
        <w:spacing w:after="120" w:line="276"/>
      </w:pPr>
      <w:r>
        <w:rPr>
          <w:rFonts w:ascii="Arial" w:cs="Arial" w:eastAsia="Arial" w:hAnsi="Arial"/>
          <w:sz w:val="22"/>
          <w:szCs w:val="22"/>
        </w:rPr>
        <w:t xml:space="preserve">McKinsey/QuantumBlack (January 2026) advocates a three-level evaluation model with increasing complexity, which has emerged as a consensus architecture across the industry:</w:t>
      </w:r>
    </w:p>
    <w:p>
      <w:pPr>
        <w:spacing w:after="120" w:line="276"/>
      </w:pPr>
      <w:r>
        <w:rPr>
          <w:rFonts w:ascii="Arial" w:cs="Arial" w:eastAsia="Arial" w:hAnsi="Arial"/>
          <w:b/>
          <w:bCs/>
          <w:sz w:val="22"/>
          <w:szCs w:val="22"/>
        </w:rPr>
        <w:t xml:space="preserve">Layer 1: LLM Evaluation</w:t>
      </w:r>
    </w:p>
    <w:p>
      <w:pPr>
        <w:spacing w:after="120" w:line="276"/>
      </w:pPr>
      <w:r>
        <w:rPr>
          <w:rFonts w:ascii="Arial" w:cs="Arial" w:eastAsia="Arial" w:hAnsi="Arial"/>
          <w:sz w:val="22"/>
          <w:szCs w:val="22"/>
        </w:rPr>
        <w:t xml:space="preserve">Direct evaluation of the foundation model’s responses in isolation. This layer uses multi-metric assessments covering factuality, calibration, robustness, and toxicity across multiple scenarios. Its purpose is to select the most appropriate model per task and maintain prompt effectiveness. Critically, LLM evaluation alone does not validate tool use, memory behavior, or multi-step action.</w:t>
      </w:r>
    </w:p>
    <w:p>
      <w:pPr>
        <w:spacing w:after="120" w:line="276"/>
      </w:pPr>
      <w:r>
        <w:rPr>
          <w:rFonts w:ascii="Arial" w:cs="Arial" w:eastAsia="Arial" w:hAnsi="Arial"/>
          <w:b/>
          <w:bCs/>
          <w:sz w:val="22"/>
          <w:szCs w:val="22"/>
        </w:rPr>
        <w:t xml:space="preserve">Layer 2: Single Agent Evaluation</w:t>
      </w:r>
    </w:p>
    <w:p>
      <w:pPr>
        <w:spacing w:after="120" w:line="276"/>
      </w:pPr>
      <w:r>
        <w:rPr>
          <w:rFonts w:ascii="Arial" w:cs="Arial" w:eastAsia="Arial" w:hAnsi="Arial"/>
          <w:sz w:val="22"/>
          <w:szCs w:val="22"/>
        </w:rPr>
        <w:t xml:space="preserve">Assesses semi-autonomous systems that take actions involving multi-step reasoning and tool use. Evaluation here must capture tool selection accuracy, parameter generation correctness, error recovery patterns, and reasoning coherence across execution steps.</w:t>
      </w:r>
    </w:p>
    <w:p>
      <w:pPr>
        <w:spacing w:after="120" w:line="276"/>
      </w:pPr>
      <w:r>
        <w:rPr>
          <w:rFonts w:ascii="Arial" w:cs="Arial" w:eastAsia="Arial" w:hAnsi="Arial"/>
          <w:b/>
          <w:bCs/>
          <w:sz w:val="22"/>
          <w:szCs w:val="22"/>
        </w:rPr>
        <w:t xml:space="preserve">Layer 3: Multi-Agent System Evaluation</w:t>
      </w:r>
    </w:p>
    <w:p>
      <w:pPr>
        <w:spacing w:after="120" w:line="276"/>
      </w:pPr>
      <w:r>
        <w:rPr>
          <w:rFonts w:ascii="Arial" w:cs="Arial" w:eastAsia="Arial" w:hAnsi="Arial"/>
          <w:sz w:val="22"/>
          <w:szCs w:val="22"/>
        </w:rPr>
        <w:t xml:space="preserve">The most complex layer, covering coordinated behaviors across multiple agents. This includes inter-agent communication integrity, cascading failure detection, delegation correctness, and emergent behaviors that arise from agent interactions. A European bank deploying agentic AI for credit applications uses this layered approach with Arize Phoenix, tracking both quantitative scores and qualitative SME assessments.</w:t>
      </w:r>
    </w:p>
    <w:p>
      <w:pPr>
        <w:pStyle w:val="Heading2"/>
      </w:pPr>
      <w:r>
        <w:rPr>
          <w:rFonts w:ascii="Arial" w:cs="Arial" w:eastAsia="Arial" w:hAnsi="Arial"/>
        </w:rPr>
        <w:t xml:space="preserve">2.2 The Four-Pillar Assessment Framework</w:t>
      </w:r>
    </w:p>
    <w:p>
      <w:pPr>
        <w:spacing w:after="120" w:line="276"/>
      </w:pPr>
      <w:r>
        <w:rPr>
          <w:rFonts w:ascii="Arial" w:cs="Arial" w:eastAsia="Arial" w:hAnsi="Arial"/>
          <w:sz w:val="22"/>
          <w:szCs w:val="22"/>
        </w:rPr>
        <w:t xml:space="preserve">Akshathala et al. (arXiv:2512.12791, December 2025) propose an end-to-end Agent Assessment Framework validated in production CloudOps environments. The four evaluation pillars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Evaluation Scope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Reasoning quality, factual accuracy, prompt adherence, hallucination detection, chain-of-thought coherence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Memory</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Single-hop recall, multi-hop retrieval, temporal reasoning, open-domain retrieval combining conversational memory with external knowledge bases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selection accuracy, parameter fidelity, invocation sequencing, error handling and recovery, schema compliance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Configurability, guardrails enforcement, security boundaries, fault injection resilience, cost/resource compliance</w:t>
            </w:r>
          </w:p>
        </w:tc>
      </w:tr>
    </w:tbl>
    <w:p>
      <w:pPr>
        <w:spacing w:after="60"/>
      </w:pPr>
    </w:p>
    <w:p>
      <w:pPr>
        <w:pStyle w:val="Heading2"/>
      </w:pPr>
      <w:r>
        <w:rPr>
          <w:rFonts w:ascii="Arial" w:cs="Arial" w:eastAsia="Arial" w:hAnsi="Arial"/>
        </w:rPr>
        <w:t xml:space="preserve">2.3 The CLASSic Framework</w:t>
      </w:r>
    </w:p>
    <w:p>
      <w:pPr>
        <w:spacing w:after="120" w:line="276"/>
      </w:pPr>
      <w:r>
        <w:rPr>
          <w:rFonts w:ascii="Arial" w:cs="Arial" w:eastAsia="Arial" w:hAnsi="Arial"/>
          <w:sz w:val="22"/>
          <w:szCs w:val="22"/>
        </w:rPr>
        <w:t xml:space="preserve">Widely adopted in 2025 enterprise settings, the CLASSic framework provides a practical readiness assessment across five dimensions: Cost (resource efficiency and ROI justification), Latency (response time under complex reasoning chains), Accuracy (task completion correctness), Security (data protection and access controls), and Stability (consistency and degradation resistance over time).</w:t>
      </w:r>
    </w:p>
    <w:p>
      <w:pPr>
        <w:pStyle w:val="Heading2"/>
      </w:pPr>
      <w:r>
        <w:rPr>
          <w:rFonts w:ascii="Arial" w:cs="Arial" w:eastAsia="Arial" w:hAnsi="Arial"/>
        </w:rPr>
        <w:t xml:space="preserve">2.4 Amazon’s Agentic Evaluation Approach</w:t>
      </w:r>
    </w:p>
    <w:p>
      <w:pPr>
        <w:spacing w:after="120" w:line="276"/>
      </w:pPr>
      <w:r>
        <w:rPr>
          <w:rFonts w:ascii="Arial" w:cs="Arial" w:eastAsia="Arial" w:hAnsi="Arial"/>
          <w:sz w:val="22"/>
          <w:szCs w:val="22"/>
        </w:rPr>
        <w:t xml:space="preserve">Amazon’s evaluation framework, published in early 2026, addresses challenges across its thousands of deployed agents through two components: a generic evaluation workflow standardizing assessment procedures across diverse agent implementations, and an agent evaluation library in Amazon Bedrock AgentCore Evaluations providing systematic measurements. Key insights include treating tool schemas as first-class governance artifacts requiring cross-organizational standards, and assessing error recovery patterns across the entire execution lifecycle rather than only at final outputs.</w:t>
      </w:r>
    </w:p>
    <w:p>
      <w:r>
        <w:br w:type="page"/>
      </w:r>
    </w:p>
    <w:p>
      <w:pPr>
        <w:pStyle w:val="Heading1"/>
      </w:pPr>
      <w:r>
        <w:rPr>
          <w:rFonts w:ascii="Arial" w:cs="Arial" w:eastAsia="Arial" w:hAnsi="Arial"/>
        </w:rPr>
        <w:t xml:space="preserve">3. Key Evaluation Metrics and Techniques</w:t>
      </w:r>
    </w:p>
    <w:p>
      <w:pPr>
        <w:pStyle w:val="Heading2"/>
      </w:pPr>
      <w:r>
        <w:rPr>
          <w:rFonts w:ascii="Arial" w:cs="Arial" w:eastAsia="Arial" w:hAnsi="Arial"/>
        </w:rPr>
        <w:t xml:space="preserve">3.1 Core Metrics for Agent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 Category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Metrics</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Captures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 Success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Success Rate (TSR), Goal Completion Rate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agent accomplished its assigned objective with correct outcomes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Tool Quality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Tool Selection Accuracy, Parameter Fidelity, Call Sequence Correctness</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Whether the agent chose the right tool, passed correct parameters, and invoked APIs in proper order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Reasoning Coherence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Trajectory Analysis, Step Consistency, Goal-Drift Score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intermediate reasoning steps logically follow from the goal and context, detecting drift from original objectives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Cost Efficiency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Token Usage, Latency, Redundant LLM Calls, API Cost per Task</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Operational cost and computational waste from unnecessary tool invocations or expanded context windows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Safety &amp; Compliance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 Reduction Index, Guardrail Trigger Rate, Policy Violation Count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agent stays within defined operational, ethical, and regulatory boundaries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Groundedness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Faithfulness Score, Hallucination Rate, Source Attribution Accuracy</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Whether outputs are grounded in retrieved evidence rather than fabricated content</w:t>
            </w:r>
          </w:p>
        </w:tc>
      </w:tr>
    </w:tbl>
    <w:p>
      <w:pPr>
        <w:spacing w:after="60"/>
      </w:pPr>
    </w:p>
    <w:p>
      <w:pPr>
        <w:pStyle w:val="Heading2"/>
      </w:pPr>
      <w:r>
        <w:rPr>
          <w:rFonts w:ascii="Arial" w:cs="Arial" w:eastAsia="Arial" w:hAnsi="Arial"/>
        </w:rPr>
        <w:t xml:space="preserve">3.2 LLM-as-a-Judge Evaluation</w:t>
      </w:r>
    </w:p>
    <w:p>
      <w:pPr>
        <w:spacing w:after="120" w:line="276"/>
      </w:pPr>
      <w:r>
        <w:rPr>
          <w:rFonts w:ascii="Arial" w:cs="Arial" w:eastAsia="Arial" w:hAnsi="Arial"/>
          <w:sz w:val="22"/>
          <w:szCs w:val="22"/>
        </w:rPr>
        <w:t xml:space="preserve">One of the most scalable approaches in 2025–2026 is using a separate LLM to score another model’s outputs against defined rubrics. The judge model evaluates factual accuracy, reasoning quality, and usefulness. This method provides consistency across large evaluation sets that would be impractical for human review. StackAI, Maxim AI, and LangSmith all implement variations of this approach. The technique requires careful calibration; NVIDIA and Lakera found their automated judge agreed with human labels in 76.8% of sampled outputs, establishing the error margin for automated evaluation.</w:t>
      </w:r>
    </w:p>
    <w:p>
      <w:pPr>
        <w:pStyle w:val="Heading2"/>
      </w:pPr>
      <w:r>
        <w:rPr>
          <w:rFonts w:ascii="Arial" w:cs="Arial" w:eastAsia="Arial" w:hAnsi="Arial"/>
        </w:rPr>
        <w:t xml:space="preserve">3.3 Trajectory-Based and Stepwise Evaluation</w:t>
      </w:r>
    </w:p>
    <w:p>
      <w:pPr>
        <w:spacing w:after="120" w:line="276"/>
      </w:pPr>
      <w:r>
        <w:rPr>
          <w:rFonts w:ascii="Arial" w:cs="Arial" w:eastAsia="Arial" w:hAnsi="Arial"/>
          <w:sz w:val="22"/>
          <w:szCs w:val="22"/>
        </w:rPr>
        <w:t xml:space="preserve">Beyond final-outcome evaluation, trajectory analysis examines each intermediate step in an agent’s execution. This is critical because agents that produce correct final results may take unsafe paths, invoke unnecessary tools, or expose sensitive data in intermediate steps. Trajectory evaluation captures the observe-reason-act-reflect loop at each cycle, checking whether each decision was justified given the available context. Goal-drift scores, introduced by Arike et al. (AAAI/ACM AIES 2025), specifically measure whether agents gradually deviate from their original objectives over extended interactions.</w:t>
      </w:r>
    </w:p>
    <w:p>
      <w:pPr>
        <w:pStyle w:val="Heading2"/>
      </w:pPr>
      <w:r>
        <w:rPr>
          <w:rFonts w:ascii="Arial" w:cs="Arial" w:eastAsia="Arial" w:hAnsi="Arial"/>
        </w:rPr>
        <w:t xml:space="preserve">3.4 Human-in-the-Loop Evaluation</w:t>
      </w:r>
    </w:p>
    <w:p>
      <w:pPr>
        <w:spacing w:after="120" w:line="276"/>
      </w:pPr>
      <w:r>
        <w:rPr>
          <w:rFonts w:ascii="Arial" w:cs="Arial" w:eastAsia="Arial" w:hAnsi="Arial"/>
          <w:sz w:val="22"/>
          <w:szCs w:val="22"/>
        </w:rPr>
        <w:t xml:space="preserve">Automated metrics cannot capture qualitative dimensions like user experience, ethical compliance, and tone appropriateness. Expert trace review involves domain specialists inspecting failure traces from high-impact or failed tasks to identify systemic weaknesses in reasoning logic. A/B testing with human feedback compares agent versions by measuring both task success rate and human-labeled metrics like helpfulness and clarity.</w:t>
      </w:r>
    </w:p>
    <w:p>
      <w:r>
        <w:br w:type="page"/>
      </w:r>
    </w:p>
    <w:p>
      <w:pPr>
        <w:pStyle w:val="Heading1"/>
      </w:pPr>
      <w:r>
        <w:rPr>
          <w:rFonts w:ascii="Arial" w:cs="Arial" w:eastAsia="Arial" w:hAnsi="Arial"/>
        </w:rPr>
        <w:t xml:space="preserve">4. Benchmarks for Agent Evaluation</w:t>
      </w:r>
    </w:p>
    <w:p>
      <w:pPr>
        <w:spacing w:after="120" w:line="276"/>
      </w:pPr>
      <w:r>
        <w:rPr>
          <w:rFonts w:ascii="Arial" w:cs="Arial" w:eastAsia="Arial" w:hAnsi="Arial"/>
          <w:sz w:val="22"/>
          <w:szCs w:val="22"/>
        </w:rPr>
        <w:t xml:space="preserve">The agent benchmark ecosystem has expanded rapidly. Phil Schmid (Hugging Face) maintains a compendium of over 50 benchmarks on GitHub, organized into four categories: Function Calling and Tool Use, General Assistant and Reasoning, Coding and Software Engineering, and Computer Interaction. Key benchmarks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60"/>
        <w:gridCol w:w="25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 Area</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AgentBench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Cross-domain evaluation across 8 environments: OS, web browsing, databases, knowledge graphs, card games, household tasks, and web shopping. Assesses reasoning quality, accuracy, and multi-turn consistency.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Liu et al., 2023 (arXiv:2308.03688)</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GAIA</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Tests general AI assistants through tasks requiring multi-step reasoning and tool use. Best agents achieve ~45% on hardest tasks, providing calibration baseline.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Mialon et al., 2023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WebArena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environment with 812 tasks across e-commerce, social forums, code development, and content management. Evaluates functional correctness.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Zhou et al., 2023</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SWE-bench</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Software engineering tasks requiring agents to resolve real GitHub issues end-to-end. Tests coding, debugging, and repository navigation.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Jimenez et al., 2023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ToolBench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Evaluates tool usage accuracy across thousands of real-world API scenarios, testing parameter generation and API composition.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Qin et al., 2023</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ToolEmu</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Focuses on identifying risky agent behaviors. 36 high-stakes tools and 144 test cases with LM-based safety evaluator to quantify risk.</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Ruan et al., 2023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AgentHarm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Measures harmfulness of LLM agents — specifically designed for safety evaluation of agent behaviors under adversarial conditions.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Andriushchenko et al., 2025 (arXiv:2410.09024)</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OSWorld</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369 tasks testing agents on operating system interactions including file management, application control, and multi-step desktop workflows.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Xie et al., 2024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TheAgent-Company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Enterprise-focused benchmark simulating company environments for evaluating agents on business workflow automation.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Xu et al., 2024</w:t>
            </w:r>
          </w:p>
        </w:tc>
      </w:tr>
    </w:tbl>
    <w:p>
      <w:pPr>
        <w:spacing w:after="60"/>
      </w:pPr>
    </w:p>
    <w:p>
      <w:pPr>
        <w:spacing w:after="120" w:line="276"/>
      </w:pPr>
      <w:r>
        <w:rPr>
          <w:rFonts w:ascii="Arial" w:cs="Arial" w:eastAsia="Arial" w:hAnsi="Arial"/>
          <w:sz w:val="22"/>
          <w:szCs w:val="22"/>
        </w:rPr>
        <w:t xml:space="preserve">Gym-like environments such as MLGym (Nathani et al., 2025), BrowserGym (Chezelles et al., 2024), and SWE-Gym (Pan et al., 2024) provide interactive training and evaluation environments that mimic real-world conditions for agent development and testing.</w:t>
      </w:r>
    </w:p>
    <w:p>
      <w:r>
        <w:br w:type="page"/>
      </w:r>
    </w:p>
    <w:p>
      <w:pPr>
        <w:pStyle w:val="Heading1"/>
      </w:pPr>
      <w:r>
        <w:rPr>
          <w:rFonts w:ascii="Arial" w:cs="Arial" w:eastAsia="Arial" w:hAnsi="Arial"/>
        </w:rPr>
        <w:t xml:space="preserve">5. Evaluation Tools and Platforms</w:t>
      </w:r>
    </w:p>
    <w:p>
      <w:pPr>
        <w:pStyle w:val="Heading2"/>
      </w:pPr>
      <w:r>
        <w:rPr>
          <w:rFonts w:ascii="Arial" w:cs="Arial" w:eastAsia="Arial" w:hAnsi="Arial"/>
        </w:rPr>
        <w:t xml:space="preserve">5.1 Commercial and Open-Source Evaluation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LangSmith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(LangChain)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tracing, tool call visualization, intermediate reasoning steps, integrated evaluation pipelines, dataset-based checks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LangChain-native workflows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Langfuse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Tracing, prompt versioning, custom evaluation metrics, dataset creation, self-hosting capability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Regulated environments needing data 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Arize Phoenix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 Commercial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and agent observability, evaluation, tracing. Used by European banks for production agentic 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monitoring with drift detection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Maxim AI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Commercial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Multi-turn persona simulation, comprehensive evaluation and observability, RBAC and SSO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Enterprise full-lifecycle evaluation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Confident AI (DeepEval)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 Commercial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Agent-specific eval metrics, dataset management, managed infrastructure with enterprise controls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wanting quick, opinionated eval setup</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RAGAS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Originally RAG evaluation, extending to agent-specific metrics: tool call accuracy, multi-step reasoning coherence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RAG-heavy agent pipelines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Galileo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evaluation with leaderboards, groundedness scoring, error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Comparative model selection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UK AISI Inspect AI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Open-source (Government)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Framework for large language model evaluations from the UK AI Safety Institute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Government and safety-focused evaluation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StackAI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observability dashboards, LLM-as-a-Judge evaluation, batch evaluation across pipeline nodes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pipeline evaluation</w:t>
            </w:r>
          </w:p>
        </w:tc>
      </w:tr>
    </w:tbl>
    <w:p>
      <w:pPr>
        <w:spacing w:after="60"/>
      </w:pPr>
    </w:p>
    <w:p>
      <w:pPr>
        <w:pStyle w:val="Heading2"/>
      </w:pPr>
      <w:r>
        <w:rPr>
          <w:rFonts w:ascii="Arial" w:cs="Arial" w:eastAsia="Arial" w:hAnsi="Arial"/>
        </w:rPr>
        <w:t xml:space="preserve">5.2 Observability and Monitoring Tools</w:t>
      </w:r>
    </w:p>
    <w:p>
      <w:pPr>
        <w:spacing w:after="120" w:line="276"/>
      </w:pPr>
      <w:r>
        <w:rPr>
          <w:rFonts w:ascii="Arial" w:cs="Arial" w:eastAsia="Arial" w:hAnsi="Arial"/>
          <w:sz w:val="22"/>
          <w:szCs w:val="22"/>
        </w:rPr>
        <w:t xml:space="preserve">Agent observability requires specialized instrumentation beyond traditional APM. Performance benchmarks (AIM Research, 2025) tested 15 observability platforms and found LangSmith introduced virtually no measurable overhead, while Langfuse added approximately 15% and AgentOps 12% in multi-step workflows. Key observability platforms include Datadog LLM Observability, Weights and Biases Weave (structured execution traces preserving parent-child relationships), AgentOps, and Laminar (5% overhead). OpenTelemetry GenAI spans are emerging as a standard for instrumenting prompts, tool calls, and safety filter events.</w:t>
      </w:r>
    </w:p>
    <w:p>
      <w:pPr>
        <w:pStyle w:val="Heading2"/>
      </w:pPr>
      <w:r>
        <w:rPr>
          <w:rFonts w:ascii="Arial" w:cs="Arial" w:eastAsia="Arial" w:hAnsi="Arial"/>
        </w:rPr>
        <w:t xml:space="preserve">5.3 Cloud Provider Evaluation Services</w:t>
      </w:r>
    </w:p>
    <w:p>
      <w:pPr>
        <w:pStyle w:val="ListParagraph"/>
        <w:numPr>
          <w:ilvl w:val="0"/>
          <w:numId w:val="2"/>
        </w:numPr>
        <w:spacing w:after="80" w:line="276"/>
      </w:pPr>
      <w:r>
        <w:rPr>
          <w:rFonts w:ascii="Arial" w:cs="Arial" w:eastAsia="Arial" w:hAnsi="Arial"/>
          <w:sz w:val="22"/>
          <w:szCs w:val="22"/>
        </w:rPr>
        <w:t xml:space="preserve">Amazon Bedrock AgentCore Evaluations: Systematic agent evaluation integrated with AWS’s agent building and deployment services</w:t>
      </w:r>
    </w:p>
    <w:p>
      <w:pPr>
        <w:pStyle w:val="ListParagraph"/>
        <w:numPr>
          <w:ilvl w:val="0"/>
          <w:numId w:val="2"/>
        </w:numPr>
        <w:spacing w:after="80" w:line="276"/>
      </w:pPr>
      <w:r>
        <w:rPr>
          <w:rFonts w:ascii="Arial" w:cs="Arial" w:eastAsia="Arial" w:hAnsi="Arial"/>
          <w:sz w:val="22"/>
          <w:szCs w:val="22"/>
        </w:rPr>
        <w:t xml:space="preserve">Google Vertex AI Gen AI Evaluation: Model and agent evaluation within Google Cloud’s AI platform</w:t>
      </w:r>
    </w:p>
    <w:p>
      <w:pPr>
        <w:pStyle w:val="ListParagraph"/>
        <w:numPr>
          <w:ilvl w:val="0"/>
          <w:numId w:val="2"/>
        </w:numPr>
        <w:spacing w:after="80" w:line="276"/>
      </w:pPr>
      <w:r>
        <w:rPr>
          <w:rFonts w:ascii="Arial" w:cs="Arial" w:eastAsia="Arial" w:hAnsi="Arial"/>
          <w:sz w:val="22"/>
          <w:szCs w:val="22"/>
        </w:rPr>
        <w:t xml:space="preserve">Databricks Mosaic AI Agent Evaluation: Integrated evaluation for agents built on the Databricks platform</w:t>
      </w:r>
    </w:p>
    <w:p>
      <w:pPr>
        <w:pStyle w:val="ListParagraph"/>
        <w:numPr>
          <w:ilvl w:val="0"/>
          <w:numId w:val="2"/>
        </w:numPr>
        <w:spacing w:after="80" w:line="276"/>
      </w:pPr>
      <w:r>
        <w:rPr>
          <w:rFonts w:ascii="Arial" w:cs="Arial" w:eastAsia="Arial" w:hAnsi="Arial"/>
          <w:sz w:val="22"/>
          <w:szCs w:val="22"/>
        </w:rPr>
        <w:t xml:space="preserve">Azure AI Red Teaming Agent: Simulates adversarial attacks during UAT phase, testing for confused deputy attacks and privilege escalation</w:t>
      </w:r>
    </w:p>
    <w:p>
      <w:r>
        <w:br w:type="page"/>
      </w:r>
    </w:p>
    <w:p>
      <w:pPr>
        <w:pStyle w:val="Heading1"/>
      </w:pPr>
      <w:r>
        <w:rPr>
          <w:rFonts w:ascii="Arial" w:cs="Arial" w:eastAsia="Arial" w:hAnsi="Arial"/>
        </w:rPr>
        <w:t xml:space="preserve">6. Security Guardrails for Agentic AI</w:t>
      </w:r>
    </w:p>
    <w:p>
      <w:pPr>
        <w:pStyle w:val="Heading2"/>
      </w:pPr>
      <w:r>
        <w:rPr>
          <w:rFonts w:ascii="Arial" w:cs="Arial" w:eastAsia="Arial" w:hAnsi="Arial"/>
        </w:rPr>
        <w:t xml:space="preserve">6.1 OWASP Top 10 for Agentic Applications (December 2025)</w:t>
      </w:r>
    </w:p>
    <w:p>
      <w:pPr>
        <w:spacing w:after="120" w:line="276"/>
      </w:pPr>
      <w:r>
        <w:rPr>
          <w:rFonts w:ascii="Arial" w:cs="Arial" w:eastAsia="Arial" w:hAnsi="Arial"/>
          <w:sz w:val="22"/>
          <w:szCs w:val="22"/>
        </w:rPr>
        <w:t xml:space="preserve">The OWASP GenAI Security Project released the Top 10 for Agentic Applications in December 2025, built by over 100 security researchers and reviewed by an Expert Review Board including representatives from NIST and the European Commission. This has become the industry’s primary taxonomy for agentic security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ASI01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Goal Hijack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Attackers redirect agent objectives by manipulating instructions, tool outputs, or external content (e.g., EchoLeak vulnerability)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ASI02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Tool Misuse &amp; Exploitation</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Agents misuse legitimate tools due to prompt injection, misalignment, or unsafe delegation (e.g., Amazon Q incident)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ASI03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&amp; Privilege Abuse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Exploitation of inherited credentials, delegated permissions, or agent-to-agent trust relationships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ASI04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Supply Chain Vulnerabilities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Malicious or tampered tools, model descriptors, agent personas, or MCP servers compromise execution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ASI05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Unexpected Code Execution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generate or execute attacker-controlled code in production environments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ASI06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Memory &amp; Context Poisoning</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Persistent corruption of agent memory, RAG stores, or contextual knowledge leading to systematically flawed decisions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ASI07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Inter-Agent Communication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Compromised inter-agent messaging enabling cascading manipulation across multi-agent systems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ASI08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Cascading Failures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Single-point failures propagating through interconnected agent systems, amplifying harm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ASI09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Human-Agent Trust Exploitation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 of human tendency to trust agent-generated outputs without verification</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ASI10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Rogue Agents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Compromised or misaligned agents diverging from intended behavior, acting as insider threats</w:t>
            </w:r>
          </w:p>
        </w:tc>
      </w:tr>
    </w:tbl>
    <w:p>
      <w:pPr>
        <w:spacing w:after="60"/>
      </w:pPr>
    </w:p>
    <w:p>
      <w:pPr>
        <w:spacing w:after="120" w:line="276"/>
      </w:pPr>
      <w:r>
        <w:rPr>
          <w:rFonts w:ascii="Arial" w:cs="Arial" w:eastAsia="Arial" w:hAnsi="Arial"/>
          <w:sz w:val="22"/>
          <w:szCs w:val="22"/>
        </w:rPr>
        <w:t xml:space="preserve">Supporting resources from OWASP include the Agentic AI Threats and Mitigations taxonomy (v1.1), the Multi-Agentic System Threat Modeling Guide, Secure Agentic App Development Guidelines, Practical Guides for Secure MCP Server Development and Use, and FinBot — a hands-on tool for understanding agentic security threats.</w:t>
      </w:r>
    </w:p>
    <w:p>
      <w:pPr>
        <w:pStyle w:val="Heading2"/>
      </w:pPr>
      <w:r>
        <w:rPr>
          <w:rFonts w:ascii="Arial" w:cs="Arial" w:eastAsia="Arial" w:hAnsi="Arial"/>
        </w:rPr>
        <w:t xml:space="preserve">6.2 Regulatory and Governance Frameworks</w:t>
      </w:r>
    </w:p>
    <w:p>
      <w:pPr>
        <w:spacing w:after="120" w:line="276"/>
      </w:pPr>
      <w:r>
        <w:rPr>
          <w:rFonts w:ascii="Arial" w:cs="Arial" w:eastAsia="Arial" w:hAnsi="Arial"/>
          <w:b/>
          <w:bCs/>
          <w:sz w:val="22"/>
          <w:szCs w:val="22"/>
        </w:rPr>
        <w:t xml:space="preserve">NIST AI Risk Management Framework (AI RMF 1.0): </w:t>
      </w:r>
      <w:r>
        <w:rPr>
          <w:rFonts w:ascii="Arial" w:cs="Arial" w:eastAsia="Arial" w:hAnsi="Arial"/>
          <w:sz w:val="22"/>
          <w:szCs w:val="22"/>
        </w:rPr>
        <w:t xml:space="preserve">Provides a lifecycle-based approach built on four core functions: Govern (accountability structures), Map (contextual risk analysis), Measure (adversarial testing, stress testing, safety evaluations), and Manage (guardrails deployment and monitoring). Microsoft’s technical community has published detailed mappings of NIST AI RMF to Azure Foundry Agent Service security controls.</w:t>
      </w:r>
    </w:p>
    <w:p>
      <w:pPr>
        <w:spacing w:after="120" w:line="276"/>
      </w:pPr>
      <w:r>
        <w:rPr>
          <w:rFonts w:ascii="Arial" w:cs="Arial" w:eastAsia="Arial" w:hAnsi="Arial"/>
          <w:b/>
          <w:bCs/>
          <w:sz w:val="22"/>
          <w:szCs w:val="22"/>
        </w:rPr>
        <w:t xml:space="preserve">MAESTRO Framework (February 2025): </w:t>
      </w:r>
      <w:r>
        <w:rPr>
          <w:rFonts w:ascii="Arial" w:cs="Arial" w:eastAsia="Arial" w:hAnsi="Arial"/>
          <w:sz w:val="22"/>
          <w:szCs w:val="22"/>
        </w:rPr>
        <w:t xml:space="preserve">Developed specifically for agentic AI, defining six analytical layers from Foundation Model vulnerabilities through to orchestration and deployment risks. Addresses gaps in existing frameworks (NIST, MITRE ATLAS) that focused primarily on static models.</w:t>
      </w:r>
    </w:p>
    <w:p>
      <w:pPr>
        <w:spacing w:after="120" w:line="276"/>
      </w:pPr>
      <w:r>
        <w:rPr>
          <w:rFonts w:ascii="Arial" w:cs="Arial" w:eastAsia="Arial" w:hAnsi="Arial"/>
          <w:b/>
          <w:bCs/>
          <w:sz w:val="22"/>
          <w:szCs w:val="22"/>
        </w:rPr>
        <w:t xml:space="preserve">Forrester AEGIS Framework: </w:t>
      </w:r>
      <w:r>
        <w:rPr>
          <w:rFonts w:ascii="Arial" w:cs="Arial" w:eastAsia="Arial" w:hAnsi="Arial"/>
          <w:sz w:val="22"/>
          <w:szCs w:val="22"/>
        </w:rPr>
        <w:t xml:space="preserve">Agentic AI Enterprise Guardrails for Information Security covers six security domains: GRC, IAM, Data Security, Application Security, Infrastructure Security, and Security Operations. Includes the practical “Agent on a Page” concept for documenting each agent’s owner, purpose, operational context, tool access, and cooperation patterns.</w:t>
      </w:r>
    </w:p>
    <w:p>
      <w:pPr>
        <w:spacing w:after="120" w:line="276"/>
      </w:pPr>
      <w:r>
        <w:rPr>
          <w:rFonts w:ascii="Arial" w:cs="Arial" w:eastAsia="Arial" w:hAnsi="Arial"/>
          <w:b/>
          <w:bCs/>
          <w:sz w:val="22"/>
          <w:szCs w:val="22"/>
        </w:rPr>
        <w:t xml:space="preserve">AWS Agentic AI Security Scoping Matrix: </w:t>
      </w:r>
      <w:r>
        <w:rPr>
          <w:rFonts w:ascii="Arial" w:cs="Arial" w:eastAsia="Arial" w:hAnsi="Arial"/>
          <w:sz w:val="22"/>
          <w:szCs w:val="22"/>
        </w:rPr>
        <w:t xml:space="preserve">Categorizes four distinct agentic architectures based on connectivity and autonomy levels (Scope 1–4), mapping critical security controls across each. Scope 4 covers fully autonomous systems requiring continuous compliance, auditing, and full-lifecycle management.</w:t>
      </w:r>
    </w:p>
    <w:p>
      <w:pPr>
        <w:spacing w:after="120" w:line="276"/>
      </w:pPr>
      <w:r>
        <w:rPr>
          <w:rFonts w:ascii="Arial" w:cs="Arial" w:eastAsia="Arial" w:hAnsi="Arial"/>
          <w:b/>
          <w:bCs/>
          <w:sz w:val="22"/>
          <w:szCs w:val="22"/>
        </w:rPr>
        <w:t xml:space="preserve">EU AI Act: </w:t>
      </w:r>
      <w:r>
        <w:rPr>
          <w:rFonts w:ascii="Arial" w:cs="Arial" w:eastAsia="Arial" w:hAnsi="Arial"/>
          <w:sz w:val="22"/>
          <w:szCs w:val="22"/>
        </w:rPr>
        <w:t xml:space="preserve">Treats compliance-related AI as high-risk, requiring documentation of model workings, bias controls, and explainable results. Enforcement began in 2025.</w:t>
      </w:r>
    </w:p>
    <w:p>
      <w:pPr>
        <w:spacing w:after="120" w:line="276"/>
      </w:pPr>
      <w:r>
        <w:rPr>
          <w:rFonts w:ascii="Arial" w:cs="Arial" w:eastAsia="Arial" w:hAnsi="Arial"/>
          <w:b/>
          <w:bCs/>
          <w:sz w:val="22"/>
          <w:szCs w:val="22"/>
        </w:rPr>
        <w:t xml:space="preserve">ISO/IEC 42001:2023: </w:t>
      </w:r>
      <w:r>
        <w:rPr>
          <w:rFonts w:ascii="Arial" w:cs="Arial" w:eastAsia="Arial" w:hAnsi="Arial"/>
          <w:sz w:val="22"/>
          <w:szCs w:val="22"/>
        </w:rPr>
        <w:t xml:space="preserve">The first global AI governance standard, focusing on organizational structures for risk, transparency, and accountability in AI management systems.</w:t>
      </w:r>
    </w:p>
    <w:p>
      <w:pPr>
        <w:spacing w:after="120" w:line="276"/>
      </w:pPr>
      <w:r>
        <w:rPr>
          <w:rFonts w:ascii="Arial" w:cs="Arial" w:eastAsia="Arial" w:hAnsi="Arial"/>
          <w:b/>
          <w:bCs/>
          <w:sz w:val="22"/>
          <w:szCs w:val="22"/>
        </w:rPr>
        <w:t xml:space="preserve">MITRE ATLAS: </w:t>
      </w:r>
      <w:r>
        <w:rPr>
          <w:rFonts w:ascii="Arial" w:cs="Arial" w:eastAsia="Arial" w:hAnsi="Arial"/>
          <w:sz w:val="22"/>
          <w:szCs w:val="22"/>
        </w:rPr>
        <w:t xml:space="preserve">Adversarial Threat Landscape for AI Systems, providing a knowledge base of adversary tactics and techniques based on real-world attack observations.</w:t>
      </w:r>
    </w:p>
    <w:p>
      <w:r>
        <w:br w:type="page"/>
      </w:r>
    </w:p>
    <w:p>
      <w:pPr>
        <w:pStyle w:val="Heading2"/>
      </w:pPr>
      <w:r>
        <w:rPr>
          <w:rFonts w:ascii="Arial" w:cs="Arial" w:eastAsia="Arial" w:hAnsi="Arial"/>
        </w:rPr>
        <w:t xml:space="preserve">6.3 Defense-in-Depth Guardrail Architecture</w:t>
      </w:r>
    </w:p>
    <w:p>
      <w:pPr>
        <w:spacing w:after="120" w:line="276"/>
      </w:pPr>
      <w:r>
        <w:rPr>
          <w:rFonts w:ascii="Arial" w:cs="Arial" w:eastAsia="Arial" w:hAnsi="Arial"/>
          <w:sz w:val="22"/>
          <w:szCs w:val="22"/>
        </w:rPr>
        <w:t xml:space="preserve">Production guardrails operate across four planes, as recommended by leading practitioners (Skywork AI, Authority Partners, 2025–2026):</w:t>
      </w:r>
    </w:p>
    <w:p>
      <w:pPr>
        <w:spacing w:after="120" w:line="276"/>
      </w:pPr>
      <w:r>
        <w:rPr>
          <w:rFonts w:ascii="Arial" w:cs="Arial" w:eastAsia="Arial" w:hAnsi="Arial"/>
          <w:b/>
          <w:bCs/>
          <w:sz w:val="22"/>
          <w:szCs w:val="22"/>
        </w:rPr>
        <w:t xml:space="preserve">Execution Plane: </w:t>
      </w:r>
      <w:r>
        <w:rPr>
          <w:rFonts w:ascii="Arial" w:cs="Arial" w:eastAsia="Arial" w:hAnsi="Arial"/>
          <w:sz w:val="22"/>
          <w:szCs w:val="22"/>
        </w:rPr>
        <w:t xml:space="preserve">Agents run in sandboxed environments (gVisor/GKE Sandbox for Kubernetes, Firecracker microVMs for multi-tenant isolation, WASI for plugin capability scoping). Egress allowlists enforce network boundaries.</w:t>
      </w:r>
    </w:p>
    <w:p>
      <w:pPr>
        <w:spacing w:after="120" w:line="276"/>
      </w:pPr>
      <w:r>
        <w:rPr>
          <w:rFonts w:ascii="Arial" w:cs="Arial" w:eastAsia="Arial" w:hAnsi="Arial"/>
          <w:b/>
          <w:bCs/>
          <w:sz w:val="22"/>
          <w:szCs w:val="22"/>
        </w:rPr>
        <w:t xml:space="preserve">Data/Memory Plane: </w:t>
      </w:r>
      <w:r>
        <w:rPr>
          <w:rFonts w:ascii="Arial" w:cs="Arial" w:eastAsia="Arial" w:hAnsi="Arial"/>
          <w:sz w:val="22"/>
          <w:szCs w:val="22"/>
        </w:rPr>
        <w:t xml:space="preserve">Vector stores on private subnets with PII redaction on both ingestion and output. Scheduled memory TTLs and purges prevent unbounded context accumulation.</w:t>
      </w:r>
    </w:p>
    <w:p>
      <w:pPr>
        <w:spacing w:after="120" w:line="276"/>
      </w:pPr>
      <w:r>
        <w:rPr>
          <w:rFonts w:ascii="Arial" w:cs="Arial" w:eastAsia="Arial" w:hAnsi="Arial"/>
          <w:b/>
          <w:bCs/>
          <w:sz w:val="22"/>
          <w:szCs w:val="22"/>
        </w:rPr>
        <w:t xml:space="preserve">Observability Plane: </w:t>
      </w:r>
      <w:r>
        <w:rPr>
          <w:rFonts w:ascii="Arial" w:cs="Arial" w:eastAsia="Arial" w:hAnsi="Arial"/>
          <w:sz w:val="22"/>
          <w:szCs w:val="22"/>
        </w:rPr>
        <w:t xml:space="preserve">OpenTelemetry GenAI spans instrument prompts, tool calls, and safety filters. SIEM aggregation with SOAR automations enables quarantine and revocation responses.</w:t>
      </w:r>
    </w:p>
    <w:p>
      <w:pPr>
        <w:spacing w:after="120" w:line="276"/>
      </w:pPr>
      <w:r>
        <w:rPr>
          <w:rFonts w:ascii="Arial" w:cs="Arial" w:eastAsia="Arial" w:hAnsi="Arial"/>
          <w:b/>
          <w:bCs/>
          <w:sz w:val="22"/>
          <w:szCs w:val="22"/>
        </w:rPr>
        <w:t xml:space="preserve">Assurance Plane: </w:t>
      </w:r>
      <w:r>
        <w:rPr>
          <w:rFonts w:ascii="Arial" w:cs="Arial" w:eastAsia="Arial" w:hAnsi="Arial"/>
          <w:sz w:val="22"/>
          <w:szCs w:val="22"/>
        </w:rPr>
        <w:t xml:space="preserve">Sigstore/Cosign verification for tool and plugin signing, SLSA attestations and SBOMs in CI/CD pipelines, red-teaming cadence with MITRE playbooks, and governance reviews mapped to EU AI Act and NIST AI RMF.</w:t>
      </w:r>
    </w:p>
    <w:p>
      <w:pPr>
        <w:pStyle w:val="Heading2"/>
      </w:pPr>
      <w:r>
        <w:rPr>
          <w:rFonts w:ascii="Arial" w:cs="Arial" w:eastAsia="Arial" w:hAnsi="Arial"/>
        </w:rPr>
        <w:t xml:space="preserve">6.4 Identity and Access Controls for Agents</w:t>
      </w:r>
    </w:p>
    <w:p>
      <w:pPr>
        <w:spacing w:after="120" w:line="276"/>
      </w:pPr>
      <w:r>
        <w:rPr>
          <w:rFonts w:ascii="Arial" w:cs="Arial" w:eastAsia="Arial" w:hAnsi="Arial"/>
          <w:sz w:val="22"/>
          <w:szCs w:val="22"/>
        </w:rPr>
        <w:t xml:space="preserve">Three of the OWASP Top 10’s top four threats (ASI02, ASI03, ASI04) are identity-focused. Key controls include assigning unique workload identities per agent using SPIFFE/SPIRE with short-lived SVIDs and mTLS enforcement, separating user authentication (OIDC/OAuth with MFA) from agent/service identity, implementing fine-grained ABAC/RBAC with externalized policy decisions (OPA/Rego), gating sensitive tools behind explicit allow policies and human approval, and maintaining zero standing privileges with short-lived secrets.</w:t>
      </w:r>
    </w:p>
    <w:p>
      <w:pPr>
        <w:pStyle w:val="Heading2"/>
      </w:pPr>
      <w:r>
        <w:rPr>
          <w:rFonts w:ascii="Arial" w:cs="Arial" w:eastAsia="Arial" w:hAnsi="Arial"/>
        </w:rPr>
        <w:t xml:space="preserve">6.5 NVIDIA’s Agent Red Teaming Framework</w:t>
      </w:r>
    </w:p>
    <w:p>
      <w:pPr>
        <w:spacing w:after="120" w:line="276"/>
      </w:pPr>
      <w:r>
        <w:rPr>
          <w:rFonts w:ascii="Arial" w:cs="Arial" w:eastAsia="Arial" w:hAnsi="Arial"/>
          <w:sz w:val="22"/>
          <w:szCs w:val="22"/>
        </w:rPr>
        <w:t xml:space="preserve">NVIDIA and Lakera AI (December 2025) published a safety and security framework with a novel dynamic evaluation approach called Agent Red Teaming via Probes. The architecture uses a global safety agent that sets policy and maintains authoritative state, local attacker agents that inject threats at workflow nodes (retrieved documents, tool outputs, intermediate steps), local defender agents that validate function calls and enforce permissions, and local evaluator agents that record metrics. They released a dataset of over 10,000 traces from attack and defense runs. Their research demonstrates that attack effectiveness changes as adversarial content passes through processing stages — some risks attenuate while others persist — underscoring the need for guardrails at multiple layers rather than just input/output boundaries.</w:t>
      </w:r>
    </w:p>
    <w:p>
      <w:r>
        <w:br w:type="page"/>
      </w:r>
    </w:p>
    <w:p>
      <w:pPr>
        <w:pStyle w:val="Heading1"/>
      </w:pPr>
      <w:r>
        <w:rPr>
          <w:rFonts w:ascii="Arial" w:cs="Arial" w:eastAsia="Arial" w:hAnsi="Arial"/>
        </w:rPr>
        <w:t xml:space="preserve">7. Security Guardrails Products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Superagent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framework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Agent as policy enforcement layer; evaluates prompts, tool calls, and responses against declarative policies in real-time. Supports tool calling, memory, and multi-agent orchestration with logging/auditing.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Agno Guardrails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Open-source / Commercial</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Built-in protections against PII leaks, prompt injections, jailbreaks, NSFW content. Five guardrail categories: appropriateness, hallucination, regulatory, alignment, and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PENSAR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tool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SAST-style findings and remediations aligned with OWASP Agentic AI Threats &amp; Mitigations taxonomy. Monitors Excessive Agency risks during development.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SPLX.AI Agentic Radar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Commercial</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Supports both OWASP Top 10 for LLMs and Agentic AI taxonomy. Enables governance alignment and technical assurance across code, config, and live system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AI&amp;ME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Low-code platform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Low-code interface for testing AI systems using OWASP ASI Threats &amp; Mitigations and LLM Top 10. Tests systems as a whole via application endpoints.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Koi Security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Commercial</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Supply chain gateway proxying agent package installations, risk assessment per MCP/tool/component, centralized kill switch for compromised agents, behavioral drift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Lasso 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guardrails for AI actionability, visibility into autonomous workflows, agent oversight platform.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ActiveFence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Commercial</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 guardrails and auto red teaming. Continuously operationalizes safety policies with compliance mapped across OWASP, NIST, MITRE, and MAESTRO.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Azure AI Content Safety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service (Microsoft)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category filters for agent outputs. Can intercept destructive commands (e.g., az vm delete) unless accompanied by authorization tokens.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Amazon Bedrock Guardrails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Cloud service (AWS)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Content filtering, PII detection, topic controls, and custom policy enforcement for agents built on Amazon Bedrock.</w:t>
            </w:r>
          </w:p>
        </w:tc>
      </w:tr>
    </w:tbl>
    <w:p>
      <w:r>
        <w:br w:type="page"/>
      </w:r>
    </w:p>
    <w:p>
      <w:pPr>
        <w:pStyle w:val="Heading1"/>
      </w:pPr>
      <w:r>
        <w:rPr>
          <w:rFonts w:ascii="Arial" w:cs="Arial" w:eastAsia="Arial" w:hAnsi="Arial"/>
        </w:rPr>
        <w:t xml:space="preserve">8. Building Your Testing Framework: Implementation Guide</w:t>
      </w:r>
    </w:p>
    <w:p>
      <w:pPr>
        <w:pStyle w:val="Heading2"/>
      </w:pPr>
      <w:r>
        <w:rPr>
          <w:rFonts w:ascii="Arial" w:cs="Arial" w:eastAsia="Arial" w:hAnsi="Arial"/>
        </w:rPr>
        <w:t xml:space="preserve">8.1 Architecture Overview</w:t>
      </w:r>
    </w:p>
    <w:p>
      <w:pPr>
        <w:spacing w:after="120" w:line="276"/>
      </w:pPr>
      <w:r>
        <w:rPr>
          <w:rFonts w:ascii="Arial" w:cs="Arial" w:eastAsia="Arial" w:hAnsi="Arial"/>
          <w:sz w:val="22"/>
          <w:szCs w:val="22"/>
        </w:rPr>
        <w:t xml:space="preserve">A production-grade testing framework for agentic AI should combine evaluation and security as integrated concerns, not separate workstreams. The recommended architecture follows the evaluations-led development approach advocated by McKinsey/QuantumBlack, embedding evaluation capability from day one across three SDLC phases: planning, build, and operation.</w:t>
      </w:r>
    </w:p>
    <w:p>
      <w:pPr>
        <w:pStyle w:val="Heading2"/>
      </w:pPr>
      <w:r>
        <w:rPr>
          <w:rFonts w:ascii="Arial" w:cs="Arial" w:eastAsia="Arial" w:hAnsi="Arial"/>
        </w:rPr>
        <w:t xml:space="preserve">8.2 Phase 1: Planning — Define Evaluation Strategy</w:t>
      </w:r>
    </w:p>
    <w:p>
      <w:pPr>
        <w:pStyle w:val="ListParagraph"/>
        <w:numPr>
          <w:ilvl w:val="0"/>
          <w:numId w:val="2"/>
        </w:numPr>
        <w:spacing w:after="80" w:line="276"/>
      </w:pPr>
      <w:r>
        <w:rPr>
          <w:rFonts w:ascii="Arial" w:cs="Arial" w:eastAsia="Arial" w:hAnsi="Arial"/>
          <w:sz w:val="22"/>
          <w:szCs w:val="22"/>
        </w:rPr>
        <w:t xml:space="preserve">Agent Inventory and Risk Classification: Document each agent using Forrester’s Agent on a Page template, specifying owner, purpose, tools, data access, and cooperation boundaries. Classify risk using the AWS Scoping Matrix (Scope 1–4).</w:t>
      </w:r>
    </w:p>
    <w:p>
      <w:pPr>
        <w:pStyle w:val="ListParagraph"/>
        <w:numPr>
          <w:ilvl w:val="0"/>
          <w:numId w:val="2"/>
        </w:numPr>
        <w:spacing w:after="80" w:line="276"/>
      </w:pPr>
      <w:r>
        <w:rPr>
          <w:rFonts w:ascii="Arial" w:cs="Arial" w:eastAsia="Arial" w:hAnsi="Arial"/>
          <w:sz w:val="22"/>
          <w:szCs w:val="22"/>
        </w:rPr>
        <w:t xml:space="preserve">Metric Selection: Select metrics from the four-pillar framework (LLM, Memory, Tools, Environment) appropriate to each agent’s risk level. Define pass/fail thresholds.</w:t>
      </w:r>
    </w:p>
    <w:p>
      <w:pPr>
        <w:pStyle w:val="ListParagraph"/>
        <w:numPr>
          <w:ilvl w:val="0"/>
          <w:numId w:val="2"/>
        </w:numPr>
        <w:spacing w:after="80" w:line="276"/>
      </w:pPr>
      <w:r>
        <w:rPr>
          <w:rFonts w:ascii="Arial" w:cs="Arial" w:eastAsia="Arial" w:hAnsi="Arial"/>
          <w:sz w:val="22"/>
          <w:szCs w:val="22"/>
        </w:rPr>
        <w:t xml:space="preserve">Threat Modeling: Apply the OWASP Multi-Agentic System Threat Modeling Guide. Map each agent’s attack surface against the ASI01–ASI10 risk categories.</w:t>
      </w:r>
    </w:p>
    <w:p>
      <w:pPr>
        <w:pStyle w:val="ListParagraph"/>
        <w:numPr>
          <w:ilvl w:val="0"/>
          <w:numId w:val="2"/>
        </w:numPr>
        <w:spacing w:after="80" w:line="276"/>
      </w:pPr>
      <w:r>
        <w:rPr>
          <w:rFonts w:ascii="Arial" w:cs="Arial" w:eastAsia="Arial" w:hAnsi="Arial"/>
          <w:sz w:val="22"/>
          <w:szCs w:val="22"/>
        </w:rPr>
        <w:t xml:space="preserve">Golden Dataset Creation: Curate evaluation datasets combining synthetic examples with representative production scenarios. Include adversarial test cases for each applicable OWASP risk.</w:t>
      </w:r>
    </w:p>
    <w:p>
      <w:pPr>
        <w:pStyle w:val="Heading2"/>
      </w:pPr>
      <w:r>
        <w:rPr>
          <w:rFonts w:ascii="Arial" w:cs="Arial" w:eastAsia="Arial" w:hAnsi="Arial"/>
        </w:rPr>
        <w:t xml:space="preserve">8.3 Phase 2: Build — Implement Evaluation and Guardrails</w:t>
      </w:r>
    </w:p>
    <w:p>
      <w:pPr>
        <w:pStyle w:val="ListParagraph"/>
        <w:numPr>
          <w:ilvl w:val="0"/>
          <w:numId w:val="2"/>
        </w:numPr>
        <w:spacing w:after="80" w:line="276"/>
      </w:pPr>
      <w:r>
        <w:rPr>
          <w:rFonts w:ascii="Arial" w:cs="Arial" w:eastAsia="Arial" w:hAnsi="Arial"/>
          <w:sz w:val="22"/>
          <w:szCs w:val="22"/>
        </w:rPr>
        <w:t xml:space="preserve">CI/CD Integration: Mandatory evaluation gates that block deployment when key metrics (TSR, faithfulness score, guardrail compliance) fall below defined thresholds. Regression alerts for metric drops exceeding 5%.</w:t>
      </w:r>
    </w:p>
    <w:p>
      <w:pPr>
        <w:pStyle w:val="ListParagraph"/>
        <w:numPr>
          <w:ilvl w:val="0"/>
          <w:numId w:val="2"/>
        </w:numPr>
        <w:spacing w:after="80" w:line="276"/>
      </w:pPr>
      <w:r>
        <w:rPr>
          <w:rFonts w:ascii="Arial" w:cs="Arial" w:eastAsia="Arial" w:hAnsi="Arial"/>
          <w:sz w:val="22"/>
          <w:szCs w:val="22"/>
        </w:rPr>
        <w:t xml:space="preserve">Evaluation Pipeline: Implement LLM-as-a-Judge for scalable automated assessment, trajectory analysis for step-by-step reasoning validation, and tool call accuracy checks. Use platforms like LangSmith, Langfuse, or Maxim AI.</w:t>
      </w:r>
    </w:p>
    <w:p>
      <w:pPr>
        <w:pStyle w:val="ListParagraph"/>
        <w:numPr>
          <w:ilvl w:val="0"/>
          <w:numId w:val="2"/>
        </w:numPr>
        <w:spacing w:after="80" w:line="276"/>
      </w:pPr>
      <w:r>
        <w:rPr>
          <w:rFonts w:ascii="Arial" w:cs="Arial" w:eastAsia="Arial" w:hAnsi="Arial"/>
          <w:sz w:val="22"/>
          <w:szCs w:val="22"/>
        </w:rPr>
        <w:t xml:space="preserve">Security Guardrails: Deploy defense-in-depth across execution, data, observability, and assurance planes. Implement deterministic controls (DLP, tokenization) rather than relying on probabilistic LLM self-evaluation for security-critical decisions.</w:t>
      </w:r>
    </w:p>
    <w:p>
      <w:pPr>
        <w:pStyle w:val="ListParagraph"/>
        <w:numPr>
          <w:ilvl w:val="0"/>
          <w:numId w:val="2"/>
        </w:numPr>
        <w:spacing w:after="80" w:line="276"/>
      </w:pPr>
      <w:r>
        <w:rPr>
          <w:rFonts w:ascii="Arial" w:cs="Arial" w:eastAsia="Arial" w:hAnsi="Arial"/>
          <w:sz w:val="22"/>
          <w:szCs w:val="22"/>
        </w:rPr>
        <w:t xml:space="preserve">Red Teaming: Conduct adversarial testing using NVIDIA’s Agent Red Teaming via Probes approach. Test prompt injection at each workflow node, not just system boundaries. Use the OWASP FinBot for hands-on security testing.</w:t>
      </w:r>
    </w:p>
    <w:p>
      <w:pPr>
        <w:pStyle w:val="Heading2"/>
      </w:pPr>
      <w:r>
        <w:rPr>
          <w:rFonts w:ascii="Arial" w:cs="Arial" w:eastAsia="Arial" w:hAnsi="Arial"/>
        </w:rPr>
        <w:t xml:space="preserve">8.4 Phase 3: Operate — Continuous Monitoring and Evaluation</w:t>
      </w:r>
    </w:p>
    <w:p>
      <w:pPr>
        <w:pStyle w:val="ListParagraph"/>
        <w:numPr>
          <w:ilvl w:val="0"/>
          <w:numId w:val="2"/>
        </w:numPr>
        <w:spacing w:after="80" w:line="276"/>
      </w:pPr>
      <w:r>
        <w:rPr>
          <w:rFonts w:ascii="Arial" w:cs="Arial" w:eastAsia="Arial" w:hAnsi="Arial"/>
          <w:sz w:val="22"/>
          <w:szCs w:val="22"/>
        </w:rPr>
        <w:t xml:space="preserve">Production Evaluation: Run scheduled evaluations on user-provided test sets. Track both metric scores and drift over time to detect agent decay.</w:t>
      </w:r>
    </w:p>
    <w:p>
      <w:pPr>
        <w:pStyle w:val="ListParagraph"/>
        <w:numPr>
          <w:ilvl w:val="0"/>
          <w:numId w:val="2"/>
        </w:numPr>
        <w:spacing w:after="80" w:line="276"/>
      </w:pPr>
      <w:r>
        <w:rPr>
          <w:rFonts w:ascii="Arial" w:cs="Arial" w:eastAsia="Arial" w:hAnsi="Arial"/>
          <w:sz w:val="22"/>
          <w:szCs w:val="22"/>
        </w:rPr>
        <w:t xml:space="preserve">Observability: Instrument with OpenTelemetry GenAI spans. Stream to SIEM with SOAR automations for quarantine responses. Maintain cryptographically signed audit logs.</w:t>
      </w:r>
    </w:p>
    <w:p>
      <w:pPr>
        <w:pStyle w:val="ListParagraph"/>
        <w:numPr>
          <w:ilvl w:val="0"/>
          <w:numId w:val="2"/>
        </w:numPr>
        <w:spacing w:after="80" w:line="276"/>
      </w:pPr>
      <w:r>
        <w:rPr>
          <w:rFonts w:ascii="Arial" w:cs="Arial" w:eastAsia="Arial" w:hAnsi="Arial"/>
          <w:sz w:val="22"/>
          <w:szCs w:val="22"/>
        </w:rPr>
        <w:t xml:space="preserve">Human-in-the-Loop: Expert trace review for high-impact failures. A/B testing for agent version comparisons. Domain SME questionnaires for qualitative metrics.</w:t>
      </w:r>
    </w:p>
    <w:p>
      <w:pPr>
        <w:pStyle w:val="ListParagraph"/>
        <w:numPr>
          <w:ilvl w:val="0"/>
          <w:numId w:val="2"/>
        </w:numPr>
        <w:spacing w:after="80" w:line="276"/>
      </w:pPr>
      <w:r>
        <w:rPr>
          <w:rFonts w:ascii="Arial" w:cs="Arial" w:eastAsia="Arial" w:hAnsi="Arial"/>
          <w:sz w:val="22"/>
          <w:szCs w:val="22"/>
        </w:rPr>
        <w:t xml:space="preserve">Iterative Red Teaming: Subscribe to OWASP GenAI incident roundups and fold new attack techniques into red team scenarios on a regular cadence.</w:t>
      </w:r>
    </w:p>
    <w:p>
      <w:r>
        <w:br w:type="page"/>
      </w:r>
    </w:p>
    <w:p>
      <w:pPr>
        <w:pStyle w:val="Heading1"/>
      </w:pPr>
      <w:r>
        <w:rPr>
          <w:rFonts w:ascii="Arial" w:cs="Arial" w:eastAsia="Arial" w:hAnsi="Arial"/>
        </w:rPr>
        <w:t xml:space="preserve">9. Complete Reference Index</w:t>
      </w:r>
    </w:p>
    <w:p>
      <w:pPr>
        <w:pStyle w:val="Heading2"/>
      </w:pPr>
      <w:r>
        <w:rPr>
          <w:rFonts w:ascii="Arial" w:cs="Arial" w:eastAsia="Arial" w:hAnsi="Arial"/>
        </w:rPr>
        <w:t xml:space="preserve">9.1 Research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Paper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Authors / 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Beyond Task Completion: An Assessment Framework for Evaluating Agentic AI Systems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Akshathala et al. — arXiv:2512.12791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2025</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Evaluating Agentic AI: A Balanced Framework for Performance, Robustness, Safety and Beyond</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Preprints.org</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August 2025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Rise of Agentic AI: Definitions, Frameworks, Architectures, Applications, Evaluation Metrics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MDPI Future Internet 17(9):404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September 2025</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Survey on Evaluation of LLM-Based Agents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Yehudai et al. — arXiv:2503.16416 (ACM KDD 2025)</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March 2025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Agent Systems: Architectures, Applications, and Evaluation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Xu et al. — arXiv:2601.01743 (JACM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2026</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AgentBench: Evaluating LLMs as Agents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Liu et al. — arXiv:2308.03688</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August 2023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Evaluating Goal Drift in Language Model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Arike et al. — AAAI/ACM AIES Vol. 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October 2025</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AgentHarm: Measuring Harmfulness of LLM Agents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Andriushchenko et al. — arXiv:2410.09024</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NVIDIA/Lakera Safety and Security Framework for Agentic AI Systems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 + Lakera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2025</w:t>
            </w:r>
          </w:p>
        </w:tc>
      </w:tr>
    </w:tbl>
    <w:p>
      <w:pPr>
        <w:spacing w:after="60"/>
      </w:pPr>
    </w:p>
    <w:p>
      <w:pPr>
        <w:pStyle w:val="Heading2"/>
      </w:pPr>
      <w:r>
        <w:rPr>
          <w:rFonts w:ascii="Arial" w:cs="Arial" w:eastAsia="Arial" w:hAnsi="Arial"/>
        </w:rPr>
        <w:t xml:space="preserve">9.2 Industry Frameworks and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Organization</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URL / Reference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Top 10 for Agentic Applications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GenAI Security Project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genai.owasp.org</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OWASP Agentic AI Threats &amp; Mitigations v1.1</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OWASP Agentic Security Initiative</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genai.owasp.org/initiatives/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AI Risk Management Framework (AI RMF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Institute of Standards and Technology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nist.gov/itl/ai-risk-management-framework</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MAESTRO Framework</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Community / ActiveFence</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Released February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Forrester AEGIS 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Forrester Research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carahsoft.com/blog/forrester-*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AWS Agentic AI Security Scoping Matrix</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Amazon Web Services</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aws.amazon.com/blogs/security/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Secure AI Framework (SAIF)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safety.google/saif</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MITRE ATLAS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MITRE Corporation</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atlas.mitre.org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ISO/IEC 42001:2023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Management Systems Standard</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EU AI Act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European Union</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Enforcement began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CSA AI Controls Trait-Based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Security Alliance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cloudsecurityalliance.org</w:t>
            </w:r>
          </w:p>
        </w:tc>
      </w:tr>
    </w:tbl>
    <w:p>
      <w:pPr>
        <w:spacing w:after="60"/>
      </w:pPr>
    </w:p>
    <w:p>
      <w:pPr>
        <w:pStyle w:val="Heading2"/>
      </w:pPr>
      <w:r>
        <w:rPr>
          <w:rFonts w:ascii="Arial" w:cs="Arial" w:eastAsia="Arial" w:hAnsi="Arial"/>
        </w:rPr>
        <w:t xml:space="preserve">9.3 Key Web Resources</w:t>
      </w:r>
    </w:p>
    <w:p>
      <w:pPr>
        <w:pStyle w:val="ListParagraph"/>
        <w:numPr>
          <w:ilvl w:val="0"/>
          <w:numId w:val="2"/>
        </w:numPr>
        <w:spacing w:after="80" w:line="276"/>
      </w:pPr>
      <w:r>
        <w:rPr>
          <w:rFonts w:ascii="Arial" w:cs="Arial" w:eastAsia="Arial" w:hAnsi="Arial"/>
          <w:sz w:val="22"/>
          <w:szCs w:val="22"/>
        </w:rPr>
        <w:t xml:space="preserve">OWASP Agentic Security Initiative: genai.owasp.org/initiatives/agentic-security-initiative/</w:t>
      </w:r>
    </w:p>
    <w:p>
      <w:pPr>
        <w:pStyle w:val="ListParagraph"/>
        <w:numPr>
          <w:ilvl w:val="0"/>
          <w:numId w:val="2"/>
        </w:numPr>
        <w:spacing w:after="80" w:line="276"/>
      </w:pPr>
      <w:r>
        <w:rPr>
          <w:rFonts w:ascii="Arial" w:cs="Arial" w:eastAsia="Arial" w:hAnsi="Arial"/>
          <w:sz w:val="22"/>
          <w:szCs w:val="22"/>
        </w:rPr>
        <w:t xml:space="preserve">Amazon Agentic Evaluation Blog: aws.amazon.com/blogs/machine-learning/evaluating-ai-agents-real-world-lessons/</w:t>
      </w:r>
    </w:p>
    <w:p>
      <w:pPr>
        <w:pStyle w:val="ListParagraph"/>
        <w:numPr>
          <w:ilvl w:val="0"/>
          <w:numId w:val="2"/>
        </w:numPr>
        <w:spacing w:after="80" w:line="276"/>
      </w:pPr>
      <w:r>
        <w:rPr>
          <w:rFonts w:ascii="Arial" w:cs="Arial" w:eastAsia="Arial" w:hAnsi="Arial"/>
          <w:sz w:val="22"/>
          <w:szCs w:val="22"/>
        </w:rPr>
        <w:t xml:space="preserve">McKinsey/QuantumBlack Agentic Evaluations: medium.com/quantumblack/evaluations-for-the-agentic-world</w:t>
      </w:r>
    </w:p>
    <w:p>
      <w:pPr>
        <w:pStyle w:val="ListParagraph"/>
        <w:numPr>
          <w:ilvl w:val="0"/>
          <w:numId w:val="2"/>
        </w:numPr>
        <w:spacing w:after="80" w:line="276"/>
      </w:pPr>
      <w:r>
        <w:rPr>
          <w:rFonts w:ascii="Arial" w:cs="Arial" w:eastAsia="Arial" w:hAnsi="Arial"/>
          <w:sz w:val="22"/>
          <w:szCs w:val="22"/>
        </w:rPr>
        <w:t xml:space="preserve">Phil Schmid’s Agent Benchmark Compendium: github.com/philschmid/ai-agent-benchmark-compendium</w:t>
      </w:r>
    </w:p>
    <w:p>
      <w:pPr>
        <w:pStyle w:val="ListParagraph"/>
        <w:numPr>
          <w:ilvl w:val="0"/>
          <w:numId w:val="2"/>
        </w:numPr>
        <w:spacing w:after="80" w:line="276"/>
      </w:pPr>
      <w:r>
        <w:rPr>
          <w:rFonts w:ascii="Arial" w:cs="Arial" w:eastAsia="Arial" w:hAnsi="Arial"/>
          <w:sz w:val="22"/>
          <w:szCs w:val="22"/>
        </w:rPr>
        <w:t xml:space="preserve">NVIDIA Agentic AI Safety Framework: helpnetsecurity.com/2025/12/08/nvidia-agentic-ai-security-framework/</w:t>
      </w:r>
    </w:p>
    <w:p>
      <w:pPr>
        <w:pStyle w:val="ListParagraph"/>
        <w:numPr>
          <w:ilvl w:val="0"/>
          <w:numId w:val="2"/>
        </w:numPr>
        <w:spacing w:after="80" w:line="276"/>
      </w:pPr>
      <w:r>
        <w:rPr>
          <w:rFonts w:ascii="Arial" w:cs="Arial" w:eastAsia="Arial" w:hAnsi="Arial"/>
          <w:sz w:val="22"/>
          <w:szCs w:val="22"/>
        </w:rPr>
        <w:t xml:space="preserve">Authority Partners 2026 Guardrails Guide: authoritypartners.com/insights/ai-agent-guardrails-production-guide-for-2026/</w:t>
      </w:r>
    </w:p>
    <w:p>
      <w:pPr>
        <w:pStyle w:val="ListParagraph"/>
        <w:numPr>
          <w:ilvl w:val="0"/>
          <w:numId w:val="2"/>
        </w:numPr>
        <w:spacing w:after="80" w:line="276"/>
      </w:pPr>
      <w:r>
        <w:rPr>
          <w:rFonts w:ascii="Arial" w:cs="Arial" w:eastAsia="Arial" w:hAnsi="Arial"/>
          <w:sz w:val="22"/>
          <w:szCs w:val="22"/>
        </w:rPr>
        <w:t xml:space="preserve">MIT Tech Review — From Guardrails to Governance: technologyreview.com/2026/02/04/.../from-guardrails-to-governance/</w:t>
      </w:r>
    </w:p>
    <w:p>
      <w:pPr>
        <w:pStyle w:val="ListParagraph"/>
        <w:numPr>
          <w:ilvl w:val="0"/>
          <w:numId w:val="2"/>
        </w:numPr>
        <w:spacing w:after="80" w:line="276"/>
      </w:pPr>
      <w:r>
        <w:rPr>
          <w:rFonts w:ascii="Arial" w:cs="Arial" w:eastAsia="Arial" w:hAnsi="Arial"/>
          <w:sz w:val="22"/>
          <w:szCs w:val="22"/>
        </w:rPr>
        <w:t xml:space="preserve">OWASP Secure MCP Server Guides: genai.owasp.org (MCP development and usage guides)</w:t>
      </w:r>
    </w:p>
    <w:p>
      <w:r>
        <w:br w:type="page"/>
      </w:r>
    </w:p>
    <w:p>
      <w:pPr>
        <w:pStyle w:val="Heading1"/>
      </w:pPr>
      <w:r>
        <w:rPr>
          <w:rFonts w:ascii="Arial" w:cs="Arial" w:eastAsia="Arial" w:hAnsi="Arial"/>
        </w:rPr>
        <w:t xml:space="preserve">10. Conclusion</w:t>
      </w:r>
    </w:p>
    <w:p>
      <w:pPr>
        <w:spacing w:after="120" w:line="276"/>
      </w:pPr>
      <w:r>
        <w:rPr>
          <w:rFonts w:ascii="Arial" w:cs="Arial" w:eastAsia="Arial" w:hAnsi="Arial"/>
          <w:sz w:val="22"/>
          <w:szCs w:val="22"/>
        </w:rPr>
        <w:t xml:space="preserve">Building a testing framework for agentic AI requires a fundamental shift from traditional evaluation approaches. The key principles emerging from industry practice and research are:</w:t>
      </w:r>
    </w:p>
    <w:p>
      <w:pPr>
        <w:spacing w:after="120" w:line="276"/>
      </w:pPr>
      <w:r>
        <w:rPr>
          <w:rFonts w:ascii="Arial" w:cs="Arial" w:eastAsia="Arial" w:hAnsi="Arial"/>
          <w:b/>
          <w:bCs/>
          <w:sz w:val="22"/>
          <w:szCs w:val="22"/>
        </w:rPr>
        <w:t xml:space="preserve">Evaluate beyond task completion.</w:t>
      </w:r>
    </w:p>
    <w:p>
      <w:pPr>
        <w:spacing w:after="120" w:line="276"/>
      </w:pPr>
      <w:r>
        <w:rPr>
          <w:rFonts w:ascii="Arial" w:cs="Arial" w:eastAsia="Arial" w:hAnsi="Arial"/>
          <w:sz w:val="22"/>
          <w:szCs w:val="22"/>
        </w:rPr>
        <w:t xml:space="preserve">Binary success metrics miss the behavioral deviations that cause production incidents. Trajectory analysis, goal-drift detection, and stepwise evaluation reveal issues invisible to outcome-only assessment.</w:t>
      </w:r>
    </w:p>
    <w:p>
      <w:pPr>
        <w:spacing w:after="120" w:line="276"/>
      </w:pPr>
      <w:r>
        <w:rPr>
          <w:rFonts w:ascii="Arial" w:cs="Arial" w:eastAsia="Arial" w:hAnsi="Arial"/>
          <w:b/>
          <w:bCs/>
          <w:sz w:val="22"/>
          <w:szCs w:val="22"/>
        </w:rPr>
        <w:t xml:space="preserve">Layer your guardrails with defense-in-depth.</w:t>
      </w:r>
    </w:p>
    <w:p>
      <w:pPr>
        <w:spacing w:after="120" w:line="276"/>
      </w:pPr>
      <w:r>
        <w:rPr>
          <w:rFonts w:ascii="Arial" w:cs="Arial" w:eastAsia="Arial" w:hAnsi="Arial"/>
          <w:sz w:val="22"/>
          <w:szCs w:val="22"/>
        </w:rPr>
        <w:t xml:space="preserve">Soft, probabilistic guardrails that rely on LLM self-evaluation are insufficient. Production systems require deterministic controls at execution, data, observability, and assurance planes, with the assumption that any single layer can fail.</w:t>
      </w:r>
    </w:p>
    <w:p>
      <w:pPr>
        <w:spacing w:after="120" w:line="276"/>
      </w:pPr>
      <w:r>
        <w:rPr>
          <w:rFonts w:ascii="Arial" w:cs="Arial" w:eastAsia="Arial" w:hAnsi="Arial"/>
          <w:b/>
          <w:bCs/>
          <w:sz w:val="22"/>
          <w:szCs w:val="22"/>
        </w:rPr>
        <w:t xml:space="preserve">Treat agents as non-human principals.</w:t>
      </w:r>
    </w:p>
    <w:p>
      <w:pPr>
        <w:spacing w:after="120" w:line="276"/>
      </w:pPr>
      <w:r>
        <w:rPr>
          <w:rFonts w:ascii="Arial" w:cs="Arial" w:eastAsia="Arial" w:hAnsi="Arial"/>
          <w:sz w:val="22"/>
          <w:szCs w:val="22"/>
        </w:rPr>
        <w:t xml:space="preserve">Every agent needs a unique identity with least-privilege access, short-lived credentials, and explicit authorization for sensitive operations. Identity is the central attack surface for agentic systems.</w:t>
      </w:r>
    </w:p>
    <w:p>
      <w:pPr>
        <w:spacing w:after="120" w:line="276"/>
      </w:pPr>
      <w:r>
        <w:rPr>
          <w:rFonts w:ascii="Arial" w:cs="Arial" w:eastAsia="Arial" w:hAnsi="Arial"/>
          <w:b/>
          <w:bCs/>
          <w:sz w:val="22"/>
          <w:szCs w:val="22"/>
        </w:rPr>
        <w:t xml:space="preserve">Embed evaluation from day one.</w:t>
      </w:r>
    </w:p>
    <w:p>
      <w:pPr>
        <w:spacing w:after="120" w:line="276"/>
      </w:pPr>
      <w:r>
        <w:rPr>
          <w:rFonts w:ascii="Arial" w:cs="Arial" w:eastAsia="Arial" w:hAnsi="Arial"/>
          <w:sz w:val="22"/>
          <w:szCs w:val="22"/>
        </w:rPr>
        <w:t xml:space="preserve">Evaluation-led development across the full SDLC — planning, build, and operation — with mandatory gates, regression alerts, and continuous production monitoring prevents the gap between prototype and production that causes most agentic AI failures.</w:t>
      </w:r>
    </w:p>
    <w:p>
      <w:pPr>
        <w:spacing w:after="120" w:line="276"/>
      </w:pPr>
      <w:r>
        <w:rPr>
          <w:rFonts w:ascii="Arial" w:cs="Arial" w:eastAsia="Arial" w:hAnsi="Arial"/>
          <w:b/>
          <w:bCs/>
          <w:sz w:val="22"/>
          <w:szCs w:val="22"/>
        </w:rPr>
        <w:t xml:space="preserve">Red-team continuously.</w:t>
      </w:r>
    </w:p>
    <w:p>
      <w:pPr>
        <w:spacing w:after="120" w:line="276"/>
      </w:pPr>
      <w:r>
        <w:rPr>
          <w:rFonts w:ascii="Arial" w:cs="Arial" w:eastAsia="Arial" w:hAnsi="Arial"/>
          <w:sz w:val="22"/>
          <w:szCs w:val="22"/>
        </w:rPr>
        <w:t xml:space="preserve">Static testing will not reveal emergent risks in agentic systems. Adversarial probing at every workflow node, not just system boundaries, combined with iterative incorporation of new attack techniques from the community, is essential for maintaining security posture as threats evolve.</w:t>
      </w:r>
    </w:p>
    <w:p>
      <w:pPr>
        <w:spacing w:after="60"/>
      </w:pPr>
    </w:p>
    <w:p>
      <w:pPr>
        <w:spacing w:after="120" w:line="276"/>
      </w:pPr>
      <w:r>
        <w:rPr>
          <w:rFonts w:ascii="Arial" w:cs="Arial" w:eastAsia="Arial" w:hAnsi="Arial"/>
          <w:sz w:val="22"/>
          <w:szCs w:val="22"/>
        </w:rPr>
        <w:t xml:space="preserve">The frameworks, tools, benchmarks, and practices cataloged in this document provide the building blocks for a comprehensive testing approach. The specific combination and configuration will depend on your agents’ risk profiles, regulatory requirements, and operational context — but the architectural principles of layered evaluation, deterministic security controls, and continuous monitoring are universal.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888888"/>
        <w:sz w:val="18"/>
        <w:szCs w:val="18"/>
      </w:rPr>
      <w:t xml:space="preserve">Agentic AI Testing Framework —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8FD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2026-03-20T06:49:43.231Z</dcterms:created>
  <dcterms:modified xsi:type="dcterms:W3CDTF">2026-03-20T06:49:43.232Z</dcterms:modified>
</cp:coreProperties>
</file>

<file path=docProps/custom.xml><?xml version="1.0" encoding="utf-8"?>
<Properties xmlns="http://schemas.openxmlformats.org/officeDocument/2006/custom-properties" xmlns:vt="http://schemas.openxmlformats.org/officeDocument/2006/docPropsVTypes"/>
</file>