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0B1B2B"/>
          <w:sz w:val="48"/>
          <w:szCs w:val="48"/>
        </w:rPr>
        <w:t xml:space="preserve">OFFDAYS</w:t>
      </w:r>
    </w:p>
    <w:p>
      <w:pPr>
        <w:spacing w:after="40"/>
      </w:pPr>
      <w:r>
        <w:rPr>
          <w:rFonts w:ascii="Calibri" w:cs="Calibri" w:eastAsia="Calibri" w:hAnsi="Calibri"/>
          <w:color w:val="008BFD"/>
          <w:sz w:val="27"/>
          <w:szCs w:val="27"/>
        </w:rPr>
        <w:t xml:space="preserve">Brand Guidelines</w:t>
      </w:r>
    </w:p>
    <w:p>
      <w:pPr>
        <w:pBdr>
          <w:bottom w:val="single" w:color="0B1B2B" w:sz="12" w:space="8"/>
        </w:pBdr>
        <w:spacing w:after="280"/>
      </w:pPr>
      <w:r>
        <w:rPr>
          <w:rFonts w:ascii="Calibri" w:cs="Calibri" w:eastAsia="Calibri" w:hAnsi="Calibri"/>
          <w:i/>
          <w:iCs/>
          <w:color w:val="4A5A6B"/>
          <w:sz w:val="20"/>
          <w:szCs w:val="20"/>
        </w:rPr>
        <w:t xml:space="preserve">Logo usage, color, typography, and asset index</w:t>
      </w:r>
    </w:p>
    <w:p>
      <w:pPr>
        <w:pStyle w:val="Heading1"/>
        <w:pBdr>
          <w:bottom w:val="single" w:color="008BFD" w:sz="8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B1B2B"/>
          <w:sz w:val="30"/>
          <w:szCs w:val="30"/>
        </w:rPr>
        <w:t xml:space="preserve">The Logo</w:t>
      </w:r>
    </w:p>
    <w:p>
      <w:pPr>
        <w:spacing w:after="200" w:before="120"/>
      </w:pPr>
      <w:r>
        <w:drawing>
          <wp:inline distT="0" distB="0" distL="0" distR="0">
            <wp:extent cx="447675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primary lockup is the wordmark with the Ø mark. Blue carries "OFF", the neutral carries "DAYS", and the speed lines sit beneath. On dark backgrounds "DAYS" is white; on light backgrounds it becomes Ink.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08BFD"/>
          <w:sz w:val="23"/>
          <w:szCs w:val="23"/>
        </w:rPr>
        <w:t xml:space="preserve">Clear space and minimum size</w:t>
      </w:r>
    </w:p>
    <w:p>
      <w:pPr>
        <w:pStyle w:val="ListParagraph"/>
        <w:numPr>
          <w:ilvl w:val="0"/>
          <w:numId w:val="2"/>
        </w:numPr>
        <w:spacing w:after="85" w:line="276"/>
      </w:pPr>
      <w:r>
        <w:rPr>
          <w:rFonts w:ascii="Calibri" w:cs="Calibri" w:eastAsia="Calibri" w:hAnsi="Calibri"/>
          <w:sz w:val="21"/>
          <w:szCs w:val="21"/>
        </w:rPr>
        <w:t xml:space="preserve">Clear space: leave at least the height of the Ø mark on every side. Nothing else goes inside that margin.</w:t>
      </w:r>
    </w:p>
    <w:p>
      <w:pPr>
        <w:pStyle w:val="ListParagraph"/>
        <w:numPr>
          <w:ilvl w:val="0"/>
          <w:numId w:val="2"/>
        </w:numPr>
        <w:spacing w:after="85" w:line="276"/>
      </w:pPr>
      <w:r>
        <w:rPr>
          <w:rFonts w:ascii="Calibri" w:cs="Calibri" w:eastAsia="Calibri" w:hAnsi="Calibri"/>
          <w:sz w:val="21"/>
          <w:szCs w:val="21"/>
        </w:rPr>
        <w:t xml:space="preserve">Minimum width: 120 px on screen, 1.25 inches in print. Below that the speed lines break up and the counter inside the Ø fills in.</w:t>
      </w:r>
    </w:p>
    <w:p>
      <w:pPr>
        <w:pStyle w:val="ListParagraph"/>
        <w:numPr>
          <w:ilvl w:val="0"/>
          <w:numId w:val="2"/>
        </w:numPr>
        <w:spacing w:after="85" w:line="276"/>
      </w:pPr>
      <w:r>
        <w:rPr>
          <w:rFonts w:ascii="Calibri" w:cs="Calibri" w:eastAsia="Calibri" w:hAnsi="Calibri"/>
          <w:sz w:val="21"/>
          <w:szCs w:val="21"/>
        </w:rPr>
        <w:t xml:space="preserve">Below 120 px, use the Ø mark alone instead of shrinking the lockup.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08BFD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85" w:line="276"/>
      </w:pPr>
      <w:r>
        <w:rPr>
          <w:rFonts w:ascii="Calibri" w:cs="Calibri" w:eastAsia="Calibri" w:hAnsi="Calibri"/>
          <w:sz w:val="21"/>
          <w:szCs w:val="21"/>
        </w:rPr>
        <w:t xml:space="preserve">Do not recolor. Blue is Electric Blue; the second color is white or Ink and nothing else.</w:t>
      </w:r>
    </w:p>
    <w:p>
      <w:pPr>
        <w:pStyle w:val="ListParagraph"/>
        <w:numPr>
          <w:ilvl w:val="0"/>
          <w:numId w:val="2"/>
        </w:numPr>
        <w:spacing w:after="85" w:line="276"/>
      </w:pPr>
      <w:r>
        <w:rPr>
          <w:rFonts w:ascii="Calibri" w:cs="Calibri" w:eastAsia="Calibri" w:hAnsi="Calibri"/>
          <w:sz w:val="21"/>
          <w:szCs w:val="21"/>
        </w:rPr>
        <w:t xml:space="preserve">Do not stretch, skew, rotate, or straighten the italic.</w:t>
      </w:r>
    </w:p>
    <w:p>
      <w:pPr>
        <w:pStyle w:val="ListParagraph"/>
        <w:numPr>
          <w:ilvl w:val="0"/>
          <w:numId w:val="2"/>
        </w:numPr>
        <w:spacing w:after="85" w:line="276"/>
      </w:pPr>
      <w:r>
        <w:rPr>
          <w:rFonts w:ascii="Calibri" w:cs="Calibri" w:eastAsia="Calibri" w:hAnsi="Calibri"/>
          <w:sz w:val="21"/>
          <w:szCs w:val="21"/>
        </w:rPr>
        <w:t xml:space="preserve">Do not add effects — no outer glow, bevel, gradient, or drop shadow beyond what ships in the file.</w:t>
      </w:r>
    </w:p>
    <w:p>
      <w:pPr>
        <w:pStyle w:val="ListParagraph"/>
        <w:numPr>
          <w:ilvl w:val="0"/>
          <w:numId w:val="2"/>
        </w:numPr>
        <w:spacing w:after="85" w:line="276"/>
      </w:pPr>
      <w:r>
        <w:rPr>
          <w:rFonts w:ascii="Calibri" w:cs="Calibri" w:eastAsia="Calibri" w:hAnsi="Calibri"/>
          <w:sz w:val="21"/>
          <w:szCs w:val="21"/>
        </w:rPr>
        <w:t xml:space="preserve">Do not place the full-color lockup on a mid-tone or busy photo. Use the white monochrome version.</w:t>
      </w:r>
    </w:p>
    <w:p>
      <w:pPr>
        <w:pStyle w:val="ListParagraph"/>
        <w:numPr>
          <w:ilvl w:val="0"/>
          <w:numId w:val="2"/>
        </w:numPr>
        <w:spacing w:after="85" w:line="276"/>
      </w:pPr>
      <w:r>
        <w:rPr>
          <w:rFonts w:ascii="Calibri" w:cs="Calibri" w:eastAsia="Calibri" w:hAnsi="Calibri"/>
          <w:sz w:val="21"/>
          <w:szCs w:val="21"/>
        </w:rPr>
        <w:t xml:space="preserve">Do not rebuild the wordmark in another typeface.</w:t>
      </w:r>
    </w:p>
    <w:p>
      <w:r>
        <w:br w:type="page"/>
      </w:r>
    </w:p>
    <w:p>
      <w:pPr>
        <w:pStyle w:val="Heading1"/>
        <w:pBdr>
          <w:bottom w:val="single" w:color="008BFD" w:sz="8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B1B2B"/>
          <w:sz w:val="30"/>
          <w:szCs w:val="30"/>
        </w:rPr>
        <w:t xml:space="preserve">Color</w:t>
      </w:r>
    </w:p>
    <w:p>
      <w:pPr>
        <w:spacing w:after="200" w:before="120"/>
      </w:pPr>
      <w:r>
        <w:drawing>
          <wp:inline distT="0" distB="0" distL="0" distR="0">
            <wp:extent cx="590550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08BFD"/>
          <w:sz w:val="23"/>
          <w:szCs w:val="23"/>
        </w:rPr>
        <w:t xml:space="preserve">Accessibility note worth acting on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Electric Blue reaches only 3.4:1 against white. </w:t>
      </w:r>
      <w:r>
        <w:rPr>
          <w:rFonts w:ascii="Calibri" w:cs="Calibri" w:eastAsia="Calibri" w:hAnsi="Calibri"/>
          <w:sz w:val="21"/>
          <w:szCs w:val="21"/>
        </w:rPr>
        <w:t xml:space="preserve">That passes WCAG AA for large text and for UI components such as buttons and icons, but it fails for body-size text. Use Blue Deep (#0063C4, 5.9:1) for links and any small blue text on a light background, and reserve Electric Blue for the logo, filled buttons, charts, and accents. On Ink or Court backgrounds Electric Blue reaches 5.1:1 and is safe for text.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This matters more than usual here: the product is read by parents and children, often on a phone outdoors.</w:t>
      </w:r>
    </w:p>
    <w:p>
      <w:pPr>
        <w:pStyle w:val="Heading1"/>
        <w:pBdr>
          <w:bottom w:val="single" w:color="008BFD" w:sz="8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B1B2B"/>
          <w:sz w:val="30"/>
          <w:szCs w:val="30"/>
        </w:rPr>
        <w:t xml:space="preserve">Typography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logo is a custom italic condensed face and is artwork, not a typeface you set text in. For everything else, two free families carry the whole product.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4920"/>
      </w:tblGrid>
      <w:tr>
        <w:trPr>
          <w:tblHeader/>
        </w:trPr>
        <w:tc>
          <w:tcPr>
            <w:tcW w:type="dxa" w:w="1700"/>
            <w:shd w:fill="0B1B2B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100"/>
            <w:shd w:fill="0B1B2B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4920"/>
            <w:shd w:fill="0B1B2B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Headings</w:t>
            </w:r>
          </w:p>
        </w:tc>
        <w:tc>
          <w:tcPr>
            <w:tcW w:type="dxa" w:w="21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Barlow Condensed</w:t>
            </w:r>
          </w:p>
        </w:tc>
        <w:tc>
          <w:tcPr>
            <w:tcW w:type="dxa" w:w="492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Bold and Semibold. Athletic and condensed enough to echo the logo without imitating it. Use for screen titles, KPI numbers, and the digest header.</w:t>
            </w:r>
          </w:p>
        </w:tc>
      </w:tr>
      <w:tr>
        <w:tc>
          <w:tcPr>
            <w:tcW w:type="dxa" w:w="170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Body and UI</w:t>
            </w:r>
          </w:p>
        </w:tc>
        <w:tc>
          <w:tcPr>
            <w:tcW w:type="dxa" w:w="210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</w:t>
            </w:r>
          </w:p>
        </w:tc>
        <w:tc>
          <w:tcPr>
            <w:tcW w:type="dxa" w:w="492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Regular, Medium, Semibold. Built for interfaces at small sizes. Enable tabular figures for rep counts, streaks, and any number that updates in place, so digits do not shift as they change.</w:t>
            </w:r>
          </w:p>
        </w:tc>
      </w:tr>
      <w:tr>
        <w:tc>
          <w:tcPr>
            <w:tcW w:type="dxa" w:w="17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 and IDs</w:t>
            </w:r>
          </w:p>
        </w:tc>
        <w:tc>
          <w:tcPr>
            <w:tcW w:type="dxa" w:w="21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492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 codes and athlete identifiers only.</w:t>
            </w:r>
          </w:p>
        </w:tc>
      </w:tr>
    </w:tbl>
    <w:p>
      <w:pPr>
        <w:spacing w:after="18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product-specific rule: </w:t>
      </w:r>
      <w:r>
        <w:rPr>
          <w:rFonts w:ascii="Calibri" w:cs="Calibri" w:eastAsia="Calibri" w:hAnsi="Calibri"/>
          <w:sz w:val="21"/>
          <w:szCs w:val="21"/>
        </w:rPr>
        <w:t xml:space="preserve">streak counts, rep totals, and load figures should always use tabular figures. A streak counter whose digits jump width as it ticks from 9 to 10 looks broken, and this product puts numbers in front of children constantly.</w:t>
      </w:r>
    </w:p>
    <w:p>
      <w:r>
        <w:br w:type="page"/>
      </w:r>
    </w:p>
    <w:p>
      <w:pPr>
        <w:pStyle w:val="Heading1"/>
        <w:pBdr>
          <w:bottom w:val="single" w:color="008BFD" w:sz="8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B1B2B"/>
          <w:sz w:val="30"/>
          <w:szCs w:val="30"/>
        </w:rPr>
        <w:t xml:space="preserve">Asset Index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820"/>
      </w:tblGrid>
      <w:tr>
        <w:trPr>
          <w:tblHeader/>
        </w:trPr>
        <w:tc>
          <w:tcPr>
            <w:tcW w:type="dxa" w:w="3900"/>
            <w:shd w:fill="0B1B2B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820"/>
            <w:shd w:fill="0B1B2B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3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logos/offdays-primary-on-dark-transparent.png</w:t>
            </w:r>
          </w:p>
        </w:tc>
        <w:tc>
          <w:tcPr>
            <w:tcW w:type="dxa" w:w="482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lockup, transparent. Dark backgrounds.</w:t>
            </w:r>
          </w:p>
        </w:tc>
      </w:tr>
      <w:tr>
        <w:tc>
          <w:tcPr>
            <w:tcW w:type="dxa" w:w="390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logos/offdays-primary-on-black.png</w:t>
            </w:r>
          </w:p>
        </w:tc>
        <w:tc>
          <w:tcPr>
            <w:tcW w:type="dxa" w:w="482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lockup on Court. Presentations, social.</w:t>
            </w:r>
          </w:p>
        </w:tc>
      </w:tr>
      <w:tr>
        <w:tc>
          <w:tcPr>
            <w:tcW w:type="dxa" w:w="3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logos/offdays-primary-on-light-transparent.png</w:t>
            </w:r>
          </w:p>
        </w:tc>
        <w:tc>
          <w:tcPr>
            <w:tcW w:type="dxa" w:w="482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Blue and Ink, transparent. Light backgrounds.</w:t>
            </w:r>
          </w:p>
        </w:tc>
      </w:tr>
      <w:tr>
        <w:tc>
          <w:tcPr>
            <w:tcW w:type="dxa" w:w="390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logos/offdays-primary-on-white.png</w:t>
            </w:r>
          </w:p>
        </w:tc>
        <w:tc>
          <w:tcPr>
            <w:tcW w:type="dxa" w:w="482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Blue and Ink on white. Documents, print.</w:t>
            </w:r>
          </w:p>
        </w:tc>
      </w:tr>
      <w:tr>
        <w:tc>
          <w:tcPr>
            <w:tcW w:type="dxa" w:w="3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logos/offdays-mono-white-transparent.png</w:t>
            </w:r>
          </w:p>
        </w:tc>
        <w:tc>
          <w:tcPr>
            <w:tcW w:type="dxa" w:w="482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One-color white. Photos, dark video, merchandise.</w:t>
            </w:r>
          </w:p>
        </w:tc>
      </w:tr>
      <w:tr>
        <w:tc>
          <w:tcPr>
            <w:tcW w:type="dxa" w:w="390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logos/offdays-mono-navy-transparent.png</w:t>
            </w:r>
          </w:p>
        </w:tc>
        <w:tc>
          <w:tcPr>
            <w:tcW w:type="dxa" w:w="482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One-color Ink. Faxable, single-color print, embroidery.</w:t>
            </w:r>
          </w:p>
        </w:tc>
      </w:tr>
      <w:tr>
        <w:tc>
          <w:tcPr>
            <w:tcW w:type="dxa" w:w="3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logos/offdays-mono-blue-transparent.png</w:t>
            </w:r>
          </w:p>
        </w:tc>
        <w:tc>
          <w:tcPr>
            <w:tcW w:type="dxa" w:w="482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One-color blue. Restricted palettes.</w:t>
            </w:r>
          </w:p>
        </w:tc>
      </w:tr>
      <w:tr>
        <w:tc>
          <w:tcPr>
            <w:tcW w:type="dxa" w:w="390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icons/icon-blue-1024.png / 512 / 256 / 128</w:t>
            </w:r>
          </w:p>
        </w:tc>
        <w:tc>
          <w:tcPr>
            <w:tcW w:type="dxa" w:w="482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icon, white mark on blue. Store listings.</w:t>
            </w:r>
          </w:p>
        </w:tc>
      </w:tr>
      <w:tr>
        <w:tc>
          <w:tcPr>
            <w:tcW w:type="dxa" w:w="3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icons/icon-navy-512.png / 256</w:t>
            </w:r>
          </w:p>
        </w:tc>
        <w:tc>
          <w:tcPr>
            <w:tcW w:type="dxa" w:w="482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icon, blue mark on Ink. Dark-mode contexts.</w:t>
            </w:r>
          </w:p>
        </w:tc>
      </w:tr>
      <w:tr>
        <w:tc>
          <w:tcPr>
            <w:tcW w:type="dxa" w:w="390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icons/icon-mark-transparent-512.png / 256</w:t>
            </w:r>
          </w:p>
        </w:tc>
        <w:tc>
          <w:tcPr>
            <w:tcW w:type="dxa" w:w="482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Bare Ø mark. Watermarks, avatars, loading states.</w:t>
            </w:r>
          </w:p>
        </w:tc>
      </w:tr>
      <w:tr>
        <w:tc>
          <w:tcPr>
            <w:tcW w:type="dxa" w:w="3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icons/apple-touch-icon-180.png</w:t>
            </w:r>
          </w:p>
        </w:tc>
        <w:tc>
          <w:tcPr>
            <w:tcW w:type="dxa" w:w="482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iOS home screen.</w:t>
            </w:r>
          </w:p>
        </w:tc>
      </w:tr>
      <w:tr>
        <w:tc>
          <w:tcPr>
            <w:tcW w:type="dxa" w:w="390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icons/favicon-32.png, favicon-16.png, favicon.ico</w:t>
            </w:r>
          </w:p>
        </w:tc>
        <w:tc>
          <w:tcPr>
            <w:tcW w:type="dxa" w:w="482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Browser tab.</w:t>
            </w:r>
          </w:p>
        </w:tc>
      </w:tr>
      <w:tr>
        <w:tc>
          <w:tcPr>
            <w:tcW w:type="dxa" w:w="3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offdays-color-palette.png</w:t>
            </w:r>
          </w:p>
        </w:tc>
        <w:tc>
          <w:tcPr>
            <w:tcW w:type="dxa" w:w="482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Palette reference with contrast ratios.</w:t>
            </w:r>
          </w:p>
        </w:tc>
      </w:tr>
      <w:tr>
        <w:tc>
          <w:tcPr>
            <w:tcW w:type="dxa" w:w="390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tokens.css / tokens.json</w:t>
            </w:r>
          </w:p>
        </w:tc>
        <w:tc>
          <w:tcPr>
            <w:tcW w:type="dxa" w:w="4820"/>
            <w:shd w:fill="EDF1F7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tokens for the app.</w:t>
            </w:r>
          </w:p>
        </w:tc>
      </w:tr>
    </w:tbl>
    <w:p>
      <w:pPr>
        <w:pStyle w:val="Heading1"/>
        <w:pBdr>
          <w:bottom w:val="single" w:color="008BFD" w:sz="8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B1B2B"/>
          <w:sz w:val="30"/>
          <w:szCs w:val="30"/>
        </w:rPr>
        <w:t xml:space="preserve">Two Things To Fix Before Launch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These are raster assets derived from an AI-generated image. </w:t>
      </w:r>
      <w:r>
        <w:rPr>
          <w:rFonts w:ascii="Calibri" w:cs="Calibri" w:eastAsia="Calibri" w:hAnsi="Calibri"/>
          <w:sz w:val="21"/>
          <w:szCs w:val="21"/>
        </w:rPr>
        <w:t xml:space="preserve">They will not scale past their native size, and the source carried a "Made with AI" watermark that has been cropped out. Before you print anything, put a designer on redrawing the wordmark as vector artwork. An SVG is required for a crisp favicon, embroidery, signage, and anything above about 1300 px wide. Budget a few hundred dollars; it is a couple of hours of work for someone with the right tools.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Clear the name before you commit. </w:t>
      </w:r>
      <w:r>
        <w:rPr>
          <w:rFonts w:ascii="Calibri" w:cs="Calibri" w:eastAsia="Calibri" w:hAnsi="Calibri"/>
          <w:sz w:val="21"/>
          <w:szCs w:val="21"/>
        </w:rPr>
        <w:t xml:space="preserve">Offday and OFFDAYS both exist as apparel and lifestyle brands, and the term is used in recovery and wellness contexts. Those sit in different trademark classes than youth-sports software, but run a USPTO search in classes 9 and 42, check the .com specifically, and search the App Store and Google Play. A name conflict in an app store is worse than a domain conflict.</w:t>
      </w:r>
    </w:p>
    <w:p>
      <w:pPr>
        <w:spacing w:after="220"/>
      </w:pPr>
    </w:p>
    <w:p>
      <w:pPr>
        <w:pBdr>
          <w:top w:val="single" w:color="BFBFBF" w:sz="6" w:space="8"/>
        </w:pBdr>
        <w:spacing w:before="180"/>
      </w:pPr>
      <w:r>
        <w:rPr>
          <w:rFonts w:ascii="Calibri" w:cs="Calibri" w:eastAsia="Calibri" w:hAnsi="Calibri"/>
          <w:i/>
          <w:iCs/>
          <w:color w:val="4A5A6B"/>
          <w:sz w:val="17"/>
          <w:szCs w:val="17"/>
        </w:rPr>
        <w:t xml:space="preserve">Assets generated from the supplied logo image. Not legal advice; trademark clearance is required before commercial use.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22235aaf5ccb2ae0a618a181968f80f0dcfc3c.png"/><Relationship Id="rId8" Type="http://schemas.openxmlformats.org/officeDocument/2006/relationships/image" Target="media/07cd409801f7aea624001f3272f79e380448dc3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2026-08-25T22:21:09.476Z</dcterms:created>
  <dcterms:modified xsi:type="dcterms:W3CDTF">2026-08-25T22:21:09.489Z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