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SWTID-2026-6606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FitTrack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spacing w:after="80" w:before="0"/>
      </w:pPr>
      <w:r>
        <w:rPr>
          <w:rFonts w:ascii="Arial" w:eastAsia="Arial" w:hAnsi="Arial" w:cs="Arial"/>
          <w:b/>
          <w:sz w:val="24"/>
          <w:szCs w:val="24"/>
        </w:rPr>
        <w:t xml:space="preserve">Solution Architecture Diagram – AI FitTrack API: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1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Arial" w:hAnsi="Arial" w:cs="Arial"/>
          <w:b w:val="0"/>
          <w:sz w:val="20"/>
          <w:szCs w:val="24"/>
        </w:rPr>
        <w:t xml:space="preserve">Figure 2: Architecture and data flow of AI FitTrack API</w:t>
      </w:r>
    </w:p>
    <w:p>
      <w:pPr>
        <w:spacing w:after="80" w:before="0"/>
      </w:pPr>
      <w:r>
        <w:rPr>
          <w:rFonts w:ascii="Arial" w:eastAsia="Arial" w:hAnsi="Arial" w:cs="Arial"/>
          <w:b/>
          <w:sz w:val="24"/>
          <w:szCs w:val="24"/>
        </w:rPr>
        <w:t xml:space="preserve">How the solution works:</w:t>
      </w:r>
    </w:p>
    <w:p>
      <w:pPr>
        <w:spacing w:after="60" w:before="0"/>
        <w:ind w:left="360" w:hanging="240"/>
      </w:pPr>
      <w:r>
        <w:rPr>
          <w:rFonts w:ascii="Arial" w:eastAsia="Arial" w:hAnsi="Arial" w:cs="Arial"/>
          <w:b w:val="0"/>
          <w:sz w:val="24"/>
          <w:szCs w:val="24"/>
        </w:rPr>
        <w:t xml:space="preserve">• Mobile app, web dashboard and third-party apps call the REST API over HTTPS. The API gateway (FastAPI behind Nginx) checks the JWT token or API key and applies rate limits.</w:t>
      </w:r>
    </w:p>
    <w:p>
      <w:pPr>
        <w:spacing w:after="60" w:before="0"/>
        <w:ind w:left="360" w:hanging="240"/>
      </w:pPr>
      <w:r>
        <w:rPr>
          <w:rFonts w:ascii="Arial" w:eastAsia="Arial" w:hAnsi="Arial" w:cs="Arial"/>
          <w:b w:val="0"/>
          <w:sz w:val="24"/>
          <w:szCs w:val="24"/>
        </w:rPr>
        <w:t xml:space="preserve">• Requests are routed to modular services: Auth &amp; User, Workout, Nutrition, Wearable Sync, AI Engine, and Admin &amp; Support.</w:t>
      </w:r>
    </w:p>
    <w:p>
      <w:pPr>
        <w:spacing w:after="60" w:before="0"/>
        <w:ind w:left="360" w:hanging="240"/>
      </w:pPr>
      <w:r>
        <w:rPr>
          <w:rFonts w:ascii="Arial" w:eastAsia="Arial" w:hAnsi="Arial" w:cs="Arial"/>
          <w:b w:val="0"/>
          <w:sz w:val="24"/>
          <w:szCs w:val="24"/>
        </w:rPr>
        <w:t xml:space="preserve">• Users, workouts, meals and goals are stored in PostgreSQL. Redis caches frequent results such as dashboards and recommendations.</w:t>
      </w:r>
    </w:p>
    <w:p>
      <w:pPr>
        <w:spacing w:after="60" w:before="0"/>
        <w:ind w:left="360" w:hanging="240"/>
      </w:pPr>
      <w:r>
        <w:rPr>
          <w:rFonts w:ascii="Arial" w:eastAsia="Arial" w:hAnsi="Arial" w:cs="Arial"/>
          <w:b w:val="0"/>
          <w:sz w:val="24"/>
          <w:szCs w:val="24"/>
        </w:rPr>
        <w:t xml:space="preserve">• The Wearable Sync service pulls steps and heart-rate data from Google Fit / Health Connect. The Nutrition service looks up food values from the Open Food Facts API, and the Auth service sends confirmation emails and OTPs.</w:t>
      </w:r>
    </w:p>
    <w:p>
      <w:pPr>
        <w:spacing w:after="60" w:before="0"/>
        <w:ind w:left="360" w:hanging="240"/>
      </w:pPr>
      <w:r>
        <w:rPr>
          <w:rFonts w:ascii="Arial" w:eastAsia="Arial" w:hAnsi="Arial" w:cs="Arial"/>
          <w:b w:val="0"/>
          <w:sz w:val="24"/>
          <w:szCs w:val="24"/>
        </w:rPr>
        <w:t xml:space="preserve">• The AI Engine reads the user's profile and history, loads trained models from the model store, and returns a workout plan, calorie and macro targets and detected activities.</w:t>
      </w:r>
    </w:p>
    <w:p>
      <w:pPr>
        <w:spacing w:after="60" w:before="0"/>
        <w:ind w:left="360" w:hanging="240"/>
      </w:pPr>
      <w:r>
        <w:rPr>
          <w:rFonts w:ascii="Arial" w:eastAsia="Arial" w:hAnsi="Arial" w:cs="Arial"/>
          <w:b w:val="0"/>
          <w:sz w:val="24"/>
          <w:szCs w:val="24"/>
        </w:rPr>
        <w:t xml:space="preserve">• The whole system is packaged in Docker containers and deployed on a cloud server with monitoring and logging.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