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SWTID-2026-6606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AI FitTrack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Registration through Form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Registration through Gmail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FR-2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User Confirmation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Confirmation via Email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Confirmation via OTP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Authentication &amp; Profile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Login with email and password (JWT token)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Password reset through email / OTP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Profile management (age, height, weight, fitness goal)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Workout Tracking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Log a workout (type, duration, sets, reps)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View, edit and delete workout history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FR-5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Nutrition Tracking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Log meals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Search food database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Daily calorie and macro summary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FR-6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Wearable Data Sync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Connect Google Fit / Health Connect account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Automatic sync of steps and heart rate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FR-7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AI Recommendations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Personalised weekly workout plan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Daily calorie and macro targets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Activity recognition from sensor data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FR-8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Progress Analytics &amp; Goals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Weekly and monthly progress charts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Goal setting and tracking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Reminders and achievement notifications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FR-9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Support &amp; Administration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Support ticket creation and reply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User management by administrator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API key management and usage monitoring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>The API and apps are easy to learn: consistent endpoints, clear error messages, Swagger documentation, and a simple mobile and web interface so a new user can log a workout in under one minute.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>All traffic uses HTTPS. Passwords are hashed, access uses JWT tokens or API keys with role-based access (user, care executive, administrator), inputs are validated, and health data is accessible only to its owner (OWASP Top 10 practices).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>Data is backed up daily and no logged workout or meal is lost. Failed requests return clear errors and the AI service falls back to default plans if a model is unavailable. Target: 99% successful requests.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>Normal API responses in under 500 ms and AI recommendations in under 2 seconds, using Redis caching, indexed queries and asynchronous endpoints. Design target of at least 100 requests per second.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>The service is designed for 99.5% uptime using multiple containers behind a load balancer, health checks and automatic restart. Planned maintenance is scheduled at low-traffic hours.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>The stateless API scales horizontally by adding containers. The database can use read replicas, and the AI engine can be scaled separately to support a growing number of users and third-party apps.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