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ответы-на-вопросы-к-лабораторной-работе"/>
    <w:p>
      <w:pPr>
        <w:pStyle w:val="Heading1"/>
      </w:pPr>
      <w:r>
        <w:t xml:space="preserve">1. — ОТВЕТЫ НА ВОПРОСЫ К ЛАБОРАТОРНОЙ РАБОТЕ —</w:t>
      </w:r>
    </w:p>
    <w:bookmarkEnd w:id="9"/>
    <w:bookmarkStart w:id="10" w:name="X66669f5ad4cb97d3ff698add8151042fe8927ba"/>
    <w:p>
      <w:pPr>
        <w:pStyle w:val="Heading1"/>
      </w:pPr>
      <w:r>
        <w:t xml:space="preserve">2. 1. Модель Мальтуса: dx/dt = kx. Используется для экспоненциального роста</w:t>
      </w:r>
    </w:p>
    <w:bookmarkEnd w:id="10"/>
    <w:bookmarkStart w:id="11" w:name="X48b9ed677abdf69848385af5ae981120c01f2bf"/>
    <w:p>
      <w:pPr>
        <w:pStyle w:val="Heading1"/>
      </w:pPr>
      <w:r>
        <w:t xml:space="preserve">3. или убывания процессов в условиях неограниченных ресурсов.</w:t>
      </w:r>
    </w:p>
    <w:bookmarkEnd w:id="11"/>
    <w:bookmarkStart w:id="12" w:name="Xf1e32e8182414a6ea4f219d7fc582fc720724a0"/>
    <w:p>
      <w:pPr>
        <w:pStyle w:val="Heading1"/>
      </w:pPr>
      <w:r>
        <w:t xml:space="preserve">4. 2. Уравнение логистической кривой: dx/dt = kx(N - x). Описывает процессы роста,</w:t>
      </w:r>
    </w:p>
    <w:bookmarkEnd w:id="12"/>
    <w:bookmarkStart w:id="13" w:name="X09ed0e77bcd7a78251ee613f6992c18e38b8553"/>
    <w:p>
      <w:pPr>
        <w:pStyle w:val="Heading1"/>
      </w:pPr>
      <w:r>
        <w:t xml:space="preserve">5. которые по мере приближения к емкости среды N замедляют свой рост.</w:t>
      </w:r>
    </w:p>
    <w:bookmarkEnd w:id="13"/>
    <w:bookmarkStart w:id="14" w:name="Xeeaac5e28a7e479893c3471d019175ff11257d3"/>
    <w:p>
      <w:pPr>
        <w:pStyle w:val="Heading1"/>
      </w:pPr>
      <w:r>
        <w:t xml:space="preserve">6. 3. Влияние коэффициентов α1(t) и α2(t): α1(t) задает интенсивность платной</w:t>
      </w:r>
    </w:p>
    <w:bookmarkEnd w:id="14"/>
    <w:bookmarkStart w:id="15" w:name="X9960ce14c5779d1b3dbb9265bde4eeb4ccd5141"/>
    <w:p>
      <w:pPr>
        <w:pStyle w:val="Heading1"/>
      </w:pPr>
      <w:r>
        <w:t xml:space="preserve">7. рекламы, а α2(t) определяет скорость распространения сарафанного радио.</w:t>
      </w:r>
    </w:p>
    <w:bookmarkEnd w:id="15"/>
    <w:bookmarkStart w:id="16" w:name="X9ef3ac760464e73842bd1116769f684614fc64d"/>
    <w:p>
      <w:pPr>
        <w:pStyle w:val="Heading1"/>
      </w:pPr>
      <w:r>
        <w:t xml:space="preserve">8. 4. При α1(t) &gt;&gt; α2(t): доминирует внешняя платная реклама.</w:t>
      </w:r>
    </w:p>
    <w:bookmarkEnd w:id="16"/>
    <w:bookmarkStart w:id="17" w:name="Xebb7afb55445a65355c1ecb1fdaea127699660c"/>
    <w:p>
      <w:pPr>
        <w:pStyle w:val="Heading1"/>
      </w:pPr>
      <w:r>
        <w:t xml:space="preserve">9. 5. При α1(t) &lt;&lt; α2(t): доминирует сарафанное радио (лавинообразный процесс).</w:t>
      </w:r>
    </w:p>
    <w:p>
      <w:pPr>
        <w:pStyle w:val="FirstParagraph"/>
      </w:pPr>
      <w:r>
        <w:t xml:space="preserve">using DifferentialEquations</w:t>
      </w:r>
      <w:r>
        <w:t xml:space="preserve"> </w:t>
      </w:r>
      <w:r>
        <w:t xml:space="preserve">using Plots</w:t>
      </w:r>
    </w:p>
    <w:p>
      <w:pPr>
        <w:pStyle w:val="BodyText"/>
      </w:pPr>
      <w:r>
        <w:t xml:space="preserve">println(</w:t>
      </w:r>
      <w:r>
        <w:t xml:space="preserve">“</w:t>
      </w:r>
      <w:r>
        <w:t xml:space="preserve">завершено успешно!”</w:t>
      </w:r>
      <w:r>
        <w:t xml:space="preserve">)</w:t>
      </w:r>
    </w:p>
    <w:bookmarkEnd w:id="17"/>
    <w:bookmarkStart w:id="18" w:name="параметры-и-начальные-условия"/>
    <w:p>
      <w:pPr>
        <w:pStyle w:val="Heading1"/>
      </w:pPr>
      <w:r>
        <w:t xml:space="preserve">10. Параметры и начальные условия</w:t>
      </w:r>
    </w:p>
    <w:p>
      <w:pPr>
        <w:pStyle w:val="FirstParagraph"/>
      </w:pPr>
      <w:r>
        <w:t xml:space="preserve">N = 5000.0</w:t>
      </w:r>
      <w:r>
        <w:t xml:space="preserve"> </w:t>
      </w:r>
      <w:r>
        <w:t xml:space="preserve">I0 = 150.0</w:t>
      </w:r>
      <w:r>
        <w:t xml:space="preserve"> </w:t>
      </w:r>
      <w:r>
        <w:t xml:space="preserve">R0 = 0.0</w:t>
      </w:r>
      <w:r>
        <w:t xml:space="preserve"> </w:t>
      </w:r>
      <w:r>
        <w:t xml:space="preserve">S0 = N - I0 - R0</w:t>
      </w:r>
    </w:p>
    <w:p>
      <w:pPr>
        <w:pStyle w:val="BodyText"/>
      </w:pPr>
      <w:r>
        <w:t xml:space="preserve">a = 0.001 # коэффициент заболеваемости (alpha)</w:t>
      </w:r>
      <w:r>
        <w:t xml:space="preserve"> </w:t>
      </w:r>
      <w:r>
        <w:t xml:space="preserve">b = 0.05 # коэффициент выздоровления (beta)</w:t>
      </w:r>
    </w:p>
    <w:p>
      <w:pPr>
        <w:pStyle w:val="BodyText"/>
      </w:pPr>
      <w:r>
        <w:t xml:space="preserve">u0 = [S0, I0, R0]</w:t>
      </w:r>
      <w:r>
        <w:t xml:space="preserve"> </w:t>
      </w:r>
      <w:r>
        <w:t xml:space="preserve">tspan = (0.0, 200.0)</w:t>
      </w:r>
      <w:r>
        <w:t xml:space="preserve"> </w:t>
      </w:r>
      <w:r>
        <w:t xml:space="preserve">p = (a, b)</w:t>
      </w:r>
    </w:p>
    <w:bookmarkEnd w:id="18"/>
    <w:bookmarkStart w:id="19" w:name="X957eb676c0e543fdc5d070d28c096afd00bd587"/>
    <w:p>
      <w:pPr>
        <w:pStyle w:val="Heading1"/>
      </w:pPr>
      <w:r>
        <w:t xml:space="preserve">11. Система дифференциальных уравнений для случая (a)</w:t>
      </w:r>
    </w:p>
    <w:p>
      <w:pPr>
        <w:pStyle w:val="FirstParagraph"/>
      </w:pPr>
      <w:r>
        <w:t xml:space="preserve">function epidemic_case_a!(du, u, p, t)</w:t>
      </w:r>
      <w:r>
        <w:t xml:space="preserve"> </w:t>
      </w:r>
      <w:r>
        <w:t xml:space="preserve">S, I, R = u</w:t>
      </w:r>
      <w:r>
        <w:t xml:space="preserve"> </w:t>
      </w:r>
      <w:r>
        <w:t xml:space="preserve">alpha, beta = p</w:t>
      </w:r>
      <w:r>
        <w:t xml:space="preserve"> </w:t>
      </w:r>
      <w:r>
        <w:t xml:space="preserve">du[1] = 0.0 # dS/dt</w:t>
      </w:r>
      <w:r>
        <w:t xml:space="preserve"> </w:t>
      </w:r>
      <w:r>
        <w:t xml:space="preserve">du[2] = -beta * I # dI/dt</w:t>
      </w:r>
      <w:r>
        <w:t xml:space="preserve"> </w:t>
      </w:r>
      <w:r>
        <w:t xml:space="preserve">du[3] = beta * I # dR/dt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prob_a = ODEProblem(epidemic_case_a!, u0, tspan, p)</w:t>
      </w:r>
      <w:r>
        <w:t xml:space="preserve"> </w:t>
      </w:r>
      <w:r>
        <w:t xml:space="preserve">sol_a = solve(prob_a, Tsit5(), saveat=0.5)</w:t>
      </w:r>
    </w:p>
    <w:bookmarkEnd w:id="19"/>
    <w:bookmarkStart w:id="20" w:name="построение-графиков"/>
    <w:p>
      <w:pPr>
        <w:pStyle w:val="Heading1"/>
      </w:pPr>
      <w:r>
        <w:t xml:space="preserve">12. Построение графиков</w:t>
      </w:r>
    </w:p>
    <w:p>
      <w:pPr>
        <w:pStyle w:val="FirstParagraph"/>
      </w:pPr>
      <w:r>
        <w:t xml:space="preserve">plot(sol_a.t, [u[1] for u in sol_a.u], label=</w:t>
      </w:r>
      <w:r>
        <w:t xml:space="preserve">“S(t) - Восприимчивые”</w:t>
      </w:r>
      <w:r>
        <w:t xml:space="preserve">, color=:blue, linewidth=2)</w:t>
      </w:r>
      <w:r>
        <w:t xml:space="preserve"> </w:t>
      </w:r>
      <w:r>
        <w:t xml:space="preserve">plot!(sol_a.t, [u[2] for u in sol_a.u], label=</w:t>
      </w:r>
      <w:r>
        <w:t xml:space="preserve">“I(t) - Инфицированные”</w:t>
      </w:r>
      <w:r>
        <w:t xml:space="preserve">, color=:green, linewidth=2)</w:t>
      </w:r>
      <w:r>
        <w:t xml:space="preserve"> </w:t>
      </w:r>
      <w:r>
        <w:t xml:space="preserve">plot!(sol_a.t, [u[3] for u in sol_a.u], label=</w:t>
      </w:r>
      <w:r>
        <w:t xml:space="preserve">“R(t) - С иммунитетом”</w:t>
      </w:r>
      <w:r>
        <w:t xml:space="preserve">, color=:red, linewidth=2)</w:t>
      </w:r>
    </w:p>
    <w:p>
      <w:pPr>
        <w:pStyle w:val="BodyText"/>
      </w:pPr>
      <w:r>
        <w:t xml:space="preserve">xlabel!(</w:t>
      </w:r>
      <w:r>
        <w:t xml:space="preserve">“Время (t)”</w:t>
      </w:r>
      <w:r>
        <w:t xml:space="preserve">)</w:t>
      </w:r>
      <w:r>
        <w:t xml:space="preserve"> </w:t>
      </w:r>
      <w:r>
        <w:t xml:space="preserve">ylabel!(</w:t>
      </w:r>
      <w:r>
        <w:t xml:space="preserve">“Количество людей”</w:t>
      </w:r>
      <w:r>
        <w:t xml:space="preserve">)</w:t>
      </w:r>
      <w:r>
        <w:t xml:space="preserve"> </w:t>
      </w:r>
      <w:r>
        <w:t xml:space="preserve">title!(</w:t>
      </w:r>
      <w:r>
        <w:t xml:space="preserve">“Динамика эпидемии: случай I(0) &lt;= I* (Изоляция)”</w:t>
      </w:r>
      <w:r>
        <w:t xml:space="preserve">)</w:t>
      </w:r>
    </w:p>
    <w:bookmarkEnd w:id="20"/>
    <w:bookmarkStart w:id="21" w:name="X94afb8dcb9ce9de93a8a0a743dd057f4d52bdbe"/>
    <w:p>
      <w:pPr>
        <w:pStyle w:val="Heading1"/>
      </w:pPr>
      <w:r>
        <w:t xml:space="preserve">13. Система дифференциальных уравнений для случая (б)</w:t>
      </w:r>
    </w:p>
    <w:p>
      <w:pPr>
        <w:pStyle w:val="FirstParagraph"/>
      </w:pPr>
      <w:r>
        <w:t xml:space="preserve">function epidemic_case_b!(du, u, p, t)</w:t>
      </w:r>
      <w:r>
        <w:t xml:space="preserve"> </w:t>
      </w:r>
      <w:r>
        <w:t xml:space="preserve">S, I, R = u</w:t>
      </w:r>
      <w:r>
        <w:t xml:space="preserve"> </w:t>
      </w:r>
      <w:r>
        <w:t xml:space="preserve">alpha, beta = p</w:t>
      </w:r>
      <w:r>
        <w:t xml:space="preserve"> </w:t>
      </w:r>
      <w:r>
        <w:t xml:space="preserve">du[1] = -alpha * S * I # dS/dt</w:t>
      </w:r>
      <w:r>
        <w:t xml:space="preserve"> </w:t>
      </w:r>
      <w:r>
        <w:t xml:space="preserve">du[2] = alpha * S * I - beta * I # dI/dt</w:t>
      </w:r>
      <w:r>
        <w:t xml:space="preserve"> </w:t>
      </w:r>
      <w:r>
        <w:t xml:space="preserve">du[3] = beta * I # dR/dt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prob_b = ODEProblem(epidemic_case_b!, u0, tspan, p)</w:t>
      </w:r>
      <w:r>
        <w:t xml:space="preserve"> </w:t>
      </w:r>
      <w:r>
        <w:t xml:space="preserve">sol_b = solve(prob_b, Tsit5(), saveat=0.5)</w:t>
      </w:r>
    </w:p>
    <w:bookmarkEnd w:id="21"/>
    <w:bookmarkStart w:id="22" w:name="построение-графиков-1"/>
    <w:p>
      <w:pPr>
        <w:pStyle w:val="Heading1"/>
      </w:pPr>
      <w:r>
        <w:t xml:space="preserve">14. Построение графиков</w:t>
      </w:r>
    </w:p>
    <w:p>
      <w:pPr>
        <w:pStyle w:val="FirstParagraph"/>
      </w:pPr>
      <w:r>
        <w:t xml:space="preserve">plot(sol_b.t, [u[1] for u in sol_b.u], label=</w:t>
      </w:r>
      <w:r>
        <w:t xml:space="preserve">“S(t) - Восприимчивые”</w:t>
      </w:r>
      <w:r>
        <w:t xml:space="preserve">, color=:blue, linewidth=2)</w:t>
      </w:r>
      <w:r>
        <w:t xml:space="preserve"> </w:t>
      </w:r>
      <w:r>
        <w:t xml:space="preserve">plot!(sol_b.t, [u[2] for u in sol_b.u], label=</w:t>
      </w:r>
      <w:r>
        <w:t xml:space="preserve">“I(t) - Инфицированные”</w:t>
      </w:r>
      <w:r>
        <w:t xml:space="preserve">, color=:green, linewidth=2)</w:t>
      </w:r>
      <w:r>
        <w:t xml:space="preserve"> </w:t>
      </w:r>
      <w:r>
        <w:t xml:space="preserve">plot!(sol_b.t, [u[3] for u in sol_b.u], label=</w:t>
      </w:r>
      <w:r>
        <w:t xml:space="preserve">“R(t) - С иммунитетом”</w:t>
      </w:r>
      <w:r>
        <w:t xml:space="preserve">, color=:red, linewidth=2)</w:t>
      </w:r>
    </w:p>
    <w:p>
      <w:pPr>
        <w:pStyle w:val="BodyText"/>
      </w:pPr>
      <w:r>
        <w:t xml:space="preserve">xlabel!(</w:t>
      </w:r>
      <w:r>
        <w:t xml:space="preserve">“Время (t)”</w:t>
      </w:r>
      <w:r>
        <w:t xml:space="preserve">)</w:t>
      </w:r>
      <w:r>
        <w:t xml:space="preserve"> </w:t>
      </w:r>
      <w:r>
        <w:t xml:space="preserve">ylabel!(</w:t>
      </w:r>
      <w:r>
        <w:t xml:space="preserve">“Количество людей”</w:t>
      </w:r>
      <w:r>
        <w:t xml:space="preserve">)</w:t>
      </w:r>
      <w:r>
        <w:t xml:space="preserve"> </w:t>
      </w:r>
      <w:r>
        <w:t xml:space="preserve">title!(</w:t>
      </w:r>
      <w:r>
        <w:t xml:space="preserve">“Динамика эпидемии: случай I(0) &gt; I* (Распространение)”</w:t>
      </w:r>
      <w:r>
        <w:t xml:space="preserve">)</w:t>
      </w:r>
    </w:p>
    <w:bookmarkEnd w:id="22"/>
    <w:bookmarkStart w:id="43" w:name="сохранение-графиковдля-отчета"/>
    <w:p>
      <w:pPr>
        <w:pStyle w:val="Heading1"/>
      </w:pPr>
      <w:r>
        <w:t xml:space="preserve">15. — СОХРАНЕНИЕ ГРАФИКОВДЛЯ ОТЧЕТА —</w:t>
      </w:r>
    </w:p>
    <w:p>
      <w:pPr>
        <w:pStyle w:val="FirstParagraph"/>
      </w:pPr>
      <w:r>
        <w:t xml:space="preserve">grafik 1(</w:t>
      </w:r>
      <w:r>
        <w:rPr>
          <w:b/>
          <w:bCs/>
        </w:rPr>
        <w:t xml:space="preserve">?@fig-001</w:t>
      </w:r>
      <w:r>
        <w:t xml:space="preserve">)</w:t>
      </w:r>
      <w:r>
        <w:t xml:space="preserve"> </w:t>
      </w:r>
      <w:bookmarkStart w:id="26" w:name="fig-001"/>
      <w:r>
        <w:drawing>
          <wp:inline>
            <wp:extent cx="3733800" cy="2261366"/>
            <wp:effectExtent b="0" l="0" r="0" t="0"/>
            <wp:docPr descr="grafik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r>
        <w:t xml:space="preserve">grafik 2(</w:t>
      </w:r>
      <w:r>
        <w:rPr>
          <w:b/>
          <w:bCs/>
        </w:rPr>
        <w:t xml:space="preserve">?@fig-002</w:t>
      </w:r>
      <w:r>
        <w:t xml:space="preserve">)</w:t>
      </w:r>
      <w:r>
        <w:t xml:space="preserve"> </w:t>
      </w:r>
      <w:bookmarkStart w:id="30" w:name="fig-002"/>
      <w:r>
        <w:drawing>
          <wp:inline>
            <wp:extent cx="3733800" cy="1920518"/>
            <wp:effectExtent b="0" l="0" r="0" t="0"/>
            <wp:docPr descr="grafik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r>
        <w:t xml:space="preserve">grafik 3(</w:t>
      </w:r>
      <w:r>
        <w:rPr>
          <w:b/>
          <w:bCs/>
        </w:rPr>
        <w:t xml:space="preserve">?@fig-003</w:t>
      </w:r>
      <w:r>
        <w:t xml:space="preserve">)</w:t>
      </w:r>
      <w:r>
        <w:t xml:space="preserve"> </w:t>
      </w:r>
      <w:bookmarkStart w:id="34" w:name="fig-003"/>
      <w:r>
        <w:drawing>
          <wp:inline>
            <wp:extent cx="3733800" cy="2020734"/>
            <wp:effectExtent b="0" l="0" r="0" t="0"/>
            <wp:docPr descr="grafik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r>
        <w:t xml:space="preserve">grafik 4(</w:t>
      </w:r>
      <w:r>
        <w:rPr>
          <w:b/>
          <w:bCs/>
        </w:rPr>
        <w:t xml:space="preserve">?@fig-004</w:t>
      </w:r>
      <w:r>
        <w:t xml:space="preserve">)</w:t>
      </w:r>
      <w:r>
        <w:t xml:space="preserve"> </w:t>
      </w:r>
      <w:bookmarkStart w:id="38" w:name="fig-004"/>
      <w:r>
        <w:drawing>
          <wp:inline>
            <wp:extent cx="3733800" cy="2067601"/>
            <wp:effectExtent b="0" l="0" r="0" t="0"/>
            <wp:docPr descr="grafik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r>
        <w:t xml:space="preserve">grafik 5(</w:t>
      </w:r>
      <w:r>
        <w:rPr>
          <w:b/>
          <w:bCs/>
        </w:rPr>
        <w:t xml:space="preserve">?@fig-005</w:t>
      </w:r>
      <w:r>
        <w:t xml:space="preserve">)</w:t>
      </w:r>
      <w:r>
        <w:t xml:space="preserve"> </w:t>
      </w:r>
      <w:bookmarkStart w:id="42" w:name="fig-005"/>
      <w:r>
        <w:drawing>
          <wp:inline>
            <wp:extent cx="3733800" cy="1894987"/>
            <wp:effectExtent b="0" l="0" r="0" t="0"/>
            <wp:docPr descr="grafik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была изучена математическая модель распространения рекламы,</w:t>
      </w:r>
      <w:r>
        <w:t xml:space="preserve"> </w:t>
      </w:r>
      <w:r>
        <w:t xml:space="preserve">учитывающая как внешние маркетинговые инвестиции (платную рекламу),</w:t>
      </w:r>
      <w:r>
        <w:t xml:space="preserve"> </w:t>
      </w:r>
      <w:r>
        <w:t xml:space="preserve">так и внутренние коммуникативные процессы («сарафанное радио»).</w:t>
      </w:r>
      <w:r>
        <w:t xml:space="preserve"> </w:t>
      </w:r>
      <w:r>
        <w:t xml:space="preserve">С помощью программной реализации в среде Julia были построены графики динамики охвата аудитории для различных режимов работы коэффициентов интенсивности,</w:t>
      </w:r>
      <w:r>
        <w:t xml:space="preserve"> </w:t>
      </w:r>
      <w:r>
        <w:t xml:space="preserve">определены моменты максимальной скорости роста информированности рынка,</w:t>
      </w:r>
      <w:r>
        <w:t xml:space="preserve"> </w:t>
      </w:r>
      <w:r>
        <w:t xml:space="preserve">а также сопоставлены сценарии с раздельным и совместным действием рекламных факторов.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2026-09-04T16:40:54Z</dcterms:created>
  <dcterms:modified xsi:type="dcterms:W3CDTF">2026-09-04T16:40:54Z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