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Структура научной презентации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Mehmet Efe Kantoz</w:t>
      </w:r>
    </w:p>
    <w:p>
      <w:pPr>
        <w:pStyle w:val="Date"/>
      </w:pPr>
      <w:r>
        <w:t xml:space="preserve">30.08.2026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2"/>
      </w:pPr>
      <w:r>
        <w:t xml:space="preserve">0.1 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Изучить модель линейного гармонического осциллятора.</w:t>
      </w:r>
    </w:p>
    <w:p>
      <w:pPr>
        <w:pStyle w:val="Compact"/>
        <w:numPr>
          <w:ilvl w:val="0"/>
          <w:numId w:val="1001"/>
        </w:numPr>
      </w:pPr>
      <w:r>
        <w:t xml:space="preserve">Освоить алгоритм перехода от дифференциального уравнения второго порядка к системе двух уравнений первого порядка.</w:t>
      </w:r>
    </w:p>
    <w:p>
      <w:pPr>
        <w:pStyle w:val="Compact"/>
        <w:numPr>
          <w:ilvl w:val="0"/>
          <w:numId w:val="1001"/>
        </w:numPr>
      </w:pPr>
      <w:r>
        <w:t xml:space="preserve">Построить решения и фазовые портреты гармонических колебаний для трех различных случаев (без затухания, с затуханием, под действием внешней силы).</w:t>
      </w:r>
    </w:p>
    <w:bookmarkEnd w:id="9"/>
    <w:bookmarkStart w:id="10" w:name="теоретическое-введение"/>
    <w:p>
      <w:pPr>
        <w:pStyle w:val="Heading2"/>
      </w:pPr>
      <w:r>
        <w:t xml:space="preserve">0.2 Теоретическое введение</w:t>
      </w:r>
    </w:p>
    <w:p>
      <w:pPr>
        <w:pStyle w:val="Compact"/>
        <w:numPr>
          <w:ilvl w:val="0"/>
          <w:numId w:val="1002"/>
        </w:numPr>
      </w:pPr>
      <w:r>
        <w:t xml:space="preserve">Уравнение гармонического осциллятора: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Переход к системе первого порядка (</w:t>
      </w:r>
      <m:oMath>
        <m:r>
          <m:t>y</m:t>
        </m:r>
        <m:r>
          <m:rPr>
            <m:sty m:val="p"/>
          </m:rPr>
          <m:t>=</m:t>
        </m:r>
        <m:acc>
          <m:accPr>
            <m:chr m:val="̇"/>
          </m:accPr>
          <m:e>
            <m:r>
              <m:t>x</m:t>
            </m:r>
          </m:e>
        </m:acc>
      </m:oMath>
      <w:r>
        <w:t xml:space="preserve">):</w:t>
      </w:r>
    </w:p>
    <w:p>
      <w:pPr>
        <w:pStyle w:val="Compac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bookmarkEnd w:id="10"/>
    <w:bookmarkStart w:id="11" w:name="инициализация-параметров-в-julia"/>
    <w:p>
      <w:pPr>
        <w:pStyle w:val="Heading2"/>
      </w:pPr>
      <w:r>
        <w:t xml:space="preserve">0.3 Инициализация параметров в Julia</w:t>
      </w:r>
    </w:p>
    <w:p>
      <w:pPr>
        <w:pStyle w:val="FirstParagraph"/>
      </w:pPr>
      <w:r>
        <w:t xml:space="preserve">```julia</w:t>
      </w:r>
      <w:r>
        <w:t xml:space="preserve"> </w:t>
      </w:r>
      <w:r>
        <w:t xml:space="preserve">using DifferentialEquations</w:t>
      </w:r>
      <w:r>
        <w:t xml:space="preserve"> </w:t>
      </w:r>
      <w:r>
        <w:t xml:space="preserve">using Plots</w:t>
      </w:r>
    </w:p>
    <w:p>
      <w:pPr>
        <w:pStyle w:val="BodyText"/>
      </w:pPr>
      <w:r>
        <w:t xml:space="preserve">w0_sq = 3.5</w:t>
      </w:r>
      <w:r>
        <w:t xml:space="preserve"> </w:t>
      </w:r>
      <w:r>
        <w:t xml:space="preserve">gamma = 0.5</w:t>
      </w:r>
      <w:r>
        <w:t xml:space="preserve"> </w:t>
      </w:r>
      <w:r>
        <w:t xml:space="preserve">u0 = [1.0, -0.5]</w:t>
      </w:r>
      <w:r>
        <w:t xml:space="preserve"> </w:t>
      </w:r>
      <w:r>
        <w:t xml:space="preserve">tspan = (0.0, 50.0)</w:t>
      </w:r>
    </w:p>
    <w:p>
      <w:pPr>
        <w:pStyle w:val="BodyText"/>
      </w:pPr>
      <w:r>
        <w:t xml:space="preserve">#Моделирование: Без затухания и с затуханием</w:t>
      </w:r>
    </w:p>
    <w:bookmarkEnd w:id="11"/>
    <w:bookmarkStart w:id="12" w:name="модель-1-без-затухания"/>
    <w:p>
      <w:pPr>
        <w:pStyle w:val="Heading1"/>
      </w:pPr>
      <w:r>
        <w:t xml:space="preserve">1. Модель 1: Без затухания</w:t>
      </w:r>
    </w:p>
    <w:p>
      <w:pPr>
        <w:pStyle w:val="FirstParagraph"/>
      </w:pPr>
      <w:r>
        <w:t xml:space="preserve">function model1!(du, u, p, t)</w:t>
      </w:r>
      <w:r>
        <w:t xml:space="preserve"> </w:t>
      </w:r>
      <w:r>
        <w:t xml:space="preserve">du[1] = u[2]</w:t>
      </w:r>
      <w:r>
        <w:t xml:space="preserve"> </w:t>
      </w:r>
      <w:r>
        <w:t xml:space="preserve">du[2] = -w0_sq * u[1]</w:t>
      </w:r>
      <w:r>
        <w:t xml:space="preserve"> </w:t>
      </w:r>
      <w:r>
        <w:t xml:space="preserve">end</w:t>
      </w:r>
      <w:r>
        <w:t xml:space="preserve"> </w:t>
      </w:r>
      <w:r>
        <w:t xml:space="preserve">sol1 = solve(ODEProblem(model1!, u0, tspan), saveat=0.05)</w:t>
      </w:r>
    </w:p>
    <w:bookmarkEnd w:id="12"/>
    <w:bookmarkStart w:id="13" w:name="модель-2-с-затуханием"/>
    <w:p>
      <w:pPr>
        <w:pStyle w:val="Heading1"/>
      </w:pPr>
      <w:r>
        <w:t xml:space="preserve">2. Модель 2: С затуханием</w:t>
      </w:r>
    </w:p>
    <w:p>
      <w:pPr>
        <w:pStyle w:val="FirstParagraph"/>
      </w:pPr>
      <w:r>
        <w:t xml:space="preserve">function model2!(du, u, p, t)</w:t>
      </w:r>
      <w:r>
        <w:t xml:space="preserve"> </w:t>
      </w:r>
      <w:r>
        <w:t xml:space="preserve">du[1] = u[2]</w:t>
      </w:r>
      <w:r>
        <w:t xml:space="preserve"> </w:t>
      </w:r>
      <w:r>
        <w:t xml:space="preserve">du[2] = -2 * gamma * u[2] - w0_sq * u[1]</w:t>
      </w:r>
      <w:r>
        <w:t xml:space="preserve"> </w:t>
      </w:r>
      <w:r>
        <w:t xml:space="preserve">end</w:t>
      </w:r>
      <w:r>
        <w:t xml:space="preserve"> </w:t>
      </w:r>
      <w:r>
        <w:t xml:space="preserve">sol2 = solve(ODEProblem(model2!, u0, tspan), saveat=0.05)</w:t>
      </w:r>
    </w:p>
    <w:p>
      <w:pPr>
        <w:pStyle w:val="BodyText"/>
      </w:pPr>
      <w:r>
        <w:t xml:space="preserve">#Моделирование: Внешняя сила</w:t>
      </w:r>
    </w:p>
    <w:bookmarkEnd w:id="13"/>
    <w:bookmarkStart w:id="14" w:name="модель-3-с-внешней-силой"/>
    <w:p>
      <w:pPr>
        <w:pStyle w:val="Heading1"/>
      </w:pPr>
      <w:r>
        <w:t xml:space="preserve">3. Модель 3: С внешней силой</w:t>
      </w:r>
    </w:p>
    <w:p>
      <w:pPr>
        <w:pStyle w:val="FirstParagraph"/>
      </w:pPr>
      <w:r>
        <w:t xml:space="preserve">f(t) = 0.7 * sin(2.0 * t)</w:t>
      </w:r>
      <w:r>
        <w:t xml:space="preserve"> </w:t>
      </w:r>
      <w:r>
        <w:t xml:space="preserve">function model3!(du, u, p, t)</w:t>
      </w:r>
      <w:r>
        <w:t xml:space="preserve"> </w:t>
      </w:r>
      <w:r>
        <w:t xml:space="preserve">du[1] = u[2]</w:t>
      </w:r>
      <w:r>
        <w:t xml:space="preserve"> </w:t>
      </w:r>
      <w:r>
        <w:t xml:space="preserve">du[2] = -2 * gamma * u[2] - w0_sq * u[1] + f(t)</w:t>
      </w:r>
      <w:r>
        <w:t xml:space="preserve"> </w:t>
      </w:r>
      <w:r>
        <w:t xml:space="preserve">end</w:t>
      </w:r>
      <w:r>
        <w:t xml:space="preserve"> </w:t>
      </w:r>
      <w:r>
        <w:t xml:space="preserve">sol3 = solve(ODEProblem(model3!, u0, tspan), saveat=0.05)</w:t>
      </w:r>
    </w:p>
    <w:bookmarkEnd w:id="14"/>
    <w:bookmarkStart w:id="23" w:name="сохранение-графиковдля-отчета"/>
    <w:p>
      <w:pPr>
        <w:pStyle w:val="Heading1"/>
      </w:pPr>
      <w:r>
        <w:t xml:space="preserve">4. — СОХРАНЕНИЕ ГРАФИКОВДЛЯ ОТЧЕТА —</w:t>
      </w:r>
    </w:p>
    <w:p>
      <w:pPr>
        <w:pStyle w:val="FirstParagraph"/>
      </w:pPr>
      <w:r>
        <w:t xml:space="preserve">grafik 1</w:t>
      </w:r>
      <w:r>
        <w:t xml:space="preserve"> </w:t>
      </w:r>
      <w:bookmarkStart w:id="18" w:name="fig-001"/>
      <w:r>
        <w:drawing>
          <wp:inline>
            <wp:extent cx="3733800" cy="1168472"/>
            <wp:effectExtent b="0" l="0" r="0" t="0"/>
            <wp:docPr descr="grafik1" title="" id="16" name="Picture"/>
            <a:graphic>
              <a:graphicData uri="http://schemas.openxmlformats.org/drawingml/2006/picture">
                <pic:pic>
                  <pic:nvPicPr>
                    <pic:cNvPr descr="image/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8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"/>
    </w:p>
    <w:p>
      <w:pPr>
        <w:pStyle w:val="BodyText"/>
      </w:pPr>
      <w:r>
        <w:t xml:space="preserve">grafik 2</w:t>
      </w:r>
      <w:r>
        <w:t xml:space="preserve"> </w:t>
      </w:r>
      <w:bookmarkStart w:id="22" w:name="fig-002"/>
      <w:r>
        <w:drawing>
          <wp:inline>
            <wp:extent cx="3733800" cy="1288559"/>
            <wp:effectExtent b="0" l="0" r="0" t="0"/>
            <wp:docPr descr="grafik2" title="" id="20" name="Picture"/>
            <a:graphic>
              <a:graphicData uri="http://schemas.openxmlformats.org/drawingml/2006/picture">
                <pic:pic>
                  <pic:nvPicPr>
                    <pic:cNvPr descr="image/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8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BodyText"/>
      </w:pPr>
      <w:r>
        <w:t xml:space="preserve">#Выводы</w:t>
      </w:r>
    </w:p>
    <w:p>
      <w:pPr>
        <w:pStyle w:val="BodyText"/>
      </w:pPr>
      <w:r>
        <w:t xml:space="preserve">Сведение порядка: Успешно реализован переход от уравнения 2-го порядка к системе двух уравнений 1-го порядка.</w:t>
      </w:r>
    </w:p>
    <w:p>
      <w:pPr>
        <w:pStyle w:val="BodyText"/>
      </w:pPr>
      <w:r>
        <w:t xml:space="preserve">Без затухания: Энергия сохраняется, фазовый портрет — замкнутые кривые (эллипсы).</w:t>
      </w:r>
    </w:p>
    <w:p>
      <w:pPr>
        <w:pStyle w:val="BodyText"/>
      </w:pPr>
      <w:r>
        <w:t xml:space="preserve">С затуханием: Амплитуда убывает, фазовый портрет — спираль к началу координат.</w:t>
      </w:r>
    </w:p>
    <w:p>
      <w:pPr>
        <w:pStyle w:val="BodyText"/>
      </w:pPr>
      <w:r>
        <w:t xml:space="preserve">С внешней силой: Система переходит в режим установившихся вынужденных колебаний (предельный цикл).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Структура научной презентации</dc:title>
  <dc:creator>Mehmet Efe Kantoz</dc:creator>
  <dc:language>ru-RU</dc:language>
  <cp:keywords/>
  <dcterms:created xsi:type="dcterms:W3CDTF">2026-09-14T11:50:22Z</dcterms:created>
  <dcterms:modified xsi:type="dcterms:W3CDTF">2026-09-14T11:50:22Z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30.08.2026</vt:lpwstr>
  </property>
  <property fmtid="{D5CDD505-2E9C-101B-9397-08002B2CF9AE}" pid="11" name="date-format">
    <vt:lpwstr>DD.MM.YYYY</vt:lpwstr>
  </property>
  <property fmtid="{D5CDD505-2E9C-101B-9397-08002B2CF9AE}" pid="12" name="execute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license">
    <vt:lpwstr/>
  </property>
  <property fmtid="{D5CDD505-2E9C-101B-9397-08002B2CF9AE}" pid="18" name="subtitle">
    <vt:lpwstr>Простейший вариант</vt:lpwstr>
  </property>
  <property fmtid="{D5CDD505-2E9C-101B-9397-08002B2CF9AE}" pid="19" name="toc-title">
    <vt:lpwstr>Содержание</vt:lpwstr>
  </property>
</Properties>
</file>