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Начальные условия и коэффициенты</w:t>
      </w:r>
      <w:r>
        <w:br/>
      </w:r>
      <w:r>
        <w:rPr>
          <w:rStyle w:val="NormalTok"/>
        </w:rPr>
        <w:t xml:space="preserve">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FunctionTok"/>
        </w:rPr>
        <w:t xml:space="preserve">P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Q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(model1!, u0, tspan)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X (Регулярные)"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1: Регулярные войска"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(sol1,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Y (Регулярные)"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20000.0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Масштабированный коэффициент для партизан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br/>
      </w:r>
      <w:r>
        <w:rPr>
          <w:rStyle w:val="FunctionTok"/>
        </w:rPr>
        <w:t xml:space="preserve">P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Q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(model2!, u0, tspan)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X (Регулярные)"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2: Регулярные vs Партизаны"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(sol.t,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"Армия Y (Партизаны)"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2026-09-04T14:12:00Z</dcterms:created>
  <dcterms:modified xsi:type="dcterms:W3CDTF">2026-09-04T14:12:00Z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