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74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4.png" ContentType="image/png"/>
  <Override PartName="/word/media/rId104.png" ContentType="image/png"/>
  <Override PartName="/word/media/rId109.png" ContentType="image/png"/>
  <Override PartName="/word/media/rId114.png" ContentType="image/png"/>
  <Override PartName="/word/media/rId124.png" ContentType="image/png"/>
  <Override PartName="/word/media/rId129.png" ContentType="image/png"/>
  <Override PartName="/word/media/rId24.png" ContentType="image/png"/>
  <Override PartName="/word/media/rId119.png" ContentType="image/png"/>
  <Override PartName="/word/media/rId29.png" ContentType="image/png"/>
  <Override PartName="/word/media/rId34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134.png" ContentType="image/png"/>
  <Override PartName="/word/media/rId99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Структура научной презентации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Mehmet Efe Kantoz</w:t>
      </w:r>
    </w:p>
    <w:p>
      <w:pPr>
        <w:pStyle w:val="Date"/>
      </w:pPr>
      <w:r>
        <w:t xml:space="preserve">30.08.2026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информация"/>
    <w:p>
      <w:pPr>
        <w:pStyle w:val="Heading1"/>
      </w:pPr>
      <w:r>
        <w:t xml:space="preserve">1. Информация</w:t>
      </w:r>
    </w:p>
    <w:bookmarkStart w:id="10" w:name="докладчик"/>
    <w:p>
      <w:pPr>
        <w:pStyle w:val="Heading2"/>
      </w:pPr>
      <w:r>
        <w:t xml:space="preserve">1.1 Докладчик</w:t>
      </w:r>
    </w:p>
    <w:p>
      <w:pPr>
        <w:pStyle w:val="Compact"/>
        <w:numPr>
          <w:ilvl w:val="0"/>
          <w:numId w:val="1001"/>
        </w:numPr>
      </w:pPr>
      <w:r>
        <w:t xml:space="preserve">Mehmet Efe Kantoz</w:t>
      </w:r>
    </w:p>
    <w:p>
      <w:pPr>
        <w:pStyle w:val="Compact"/>
        <w:numPr>
          <w:ilvl w:val="0"/>
          <w:numId w:val="1001"/>
        </w:numPr>
      </w:pPr>
      <w:r>
        <w:t xml:space="preserve">Ctudent 3 kypc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1032228428@pfur.ru</w:t>
        </w:r>
      </w:hyperlink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Создадим агентную модель распространения инфекционного заболевания на</w:t>
      </w:r>
      <w:r>
        <w:t xml:space="preserve"> </w:t>
      </w:r>
      <w:r>
        <w:t xml:space="preserve">основе классической компартментальной модели SIR (Susceptible-InfectiousRecovered). Модель будет реализована с использованием пакета Agents.jl. В отличие от классической м</w:t>
      </w:r>
      <w:r>
        <w:t xml:space="preserve"> </w:t>
      </w:r>
      <w:r>
        <w:t xml:space="preserve">подход позволит учесть индивидуальные характеристики, пространственную</w:t>
      </w:r>
      <w:r>
        <w:t xml:space="preserve"> </w:t>
      </w:r>
      <w:r>
        <w:t xml:space="preserve">структуру и стохастичность процессов.</w:t>
      </w:r>
    </w:p>
    <w:bookmarkEnd w:id="12"/>
    <w:bookmarkStart w:id="140" w:name="задание"/>
    <w:p>
      <w:pPr>
        <w:pStyle w:val="Heading1"/>
      </w:pPr>
      <w:r>
        <w:t xml:space="preserve">3.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2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0"/>
          <w:numId w:val="1002"/>
        </w:numPr>
      </w:pPr>
      <w:r>
        <w:t xml:space="preserve">чистый код;</w:t>
      </w:r>
    </w:p>
    <w:p>
      <w:pPr>
        <w:pStyle w:val="Compact"/>
        <w:numPr>
          <w:ilvl w:val="0"/>
          <w:numId w:val="1002"/>
        </w:numPr>
      </w:pPr>
      <w:r>
        <w:t xml:space="preserve">jupyter notebook;</w:t>
      </w:r>
    </w:p>
    <w:p>
      <w:pPr>
        <w:pStyle w:val="Compact"/>
        <w:numPr>
          <w:ilvl w:val="0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2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0"/>
          <w:numId w:val="1002"/>
        </w:numPr>
      </w:pPr>
      <w:r>
        <w:t xml:space="preserve">чистый код;</w:t>
      </w:r>
    </w:p>
    <w:p>
      <w:pPr>
        <w:pStyle w:val="Compact"/>
        <w:numPr>
          <w:ilvl w:val="0"/>
          <w:numId w:val="1002"/>
        </w:numPr>
      </w:pPr>
      <w:r>
        <w:t xml:space="preserve">jupyter notebook;</w:t>
      </w:r>
    </w:p>
    <w:p>
      <w:pPr>
        <w:pStyle w:val="Compact"/>
        <w:numPr>
          <w:ilvl w:val="0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с параметрами в формате Quarto в отчёт.</w:t>
      </w:r>
    </w:p>
    <w:bookmarkStart w:id="13" w:name="теоретическое-введение"/>
    <w:p>
      <w:pPr>
        <w:pStyle w:val="Heading2"/>
      </w:pPr>
      <w:r>
        <w:t xml:space="preserve">3.1 Теоретическое введение</w:t>
      </w:r>
    </w:p>
    <w:bookmarkEnd w:id="13"/>
    <w:bookmarkStart w:id="14" w:name="классическая-модель-sir"/>
    <w:p>
      <w:pPr>
        <w:pStyle w:val="Heading2"/>
      </w:pPr>
      <w:r>
        <w:t xml:space="preserve">3.2 Классическая модель SIR</w:t>
      </w:r>
    </w:p>
    <w:p>
      <w:pPr>
        <w:pStyle w:val="FirstParagraph"/>
      </w:pPr>
      <w:r>
        <w:t xml:space="preserve">Модель SIR, предложенная Кермаком и Маккендриком в 1927 году, описывает</w:t>
      </w:r>
      <w:r>
        <w:t xml:space="preserve"> </w:t>
      </w:r>
      <w:r>
        <w:t xml:space="preserve">динамику эпидемии в популяции, разделённой на три группы:</w:t>
      </w:r>
    </w:p>
    <w:p>
      <w:pPr>
        <w:pStyle w:val="Compact"/>
        <w:numPr>
          <w:ilvl w:val="0"/>
          <w:numId w:val="1003"/>
        </w:numPr>
      </w:pPr>
      <w:r>
        <w:t xml:space="preserve">S (Susceptible) — восприимчивые к заболеванию индивиды;</w:t>
      </w:r>
    </w:p>
    <w:p>
      <w:pPr>
        <w:pStyle w:val="Compact"/>
        <w:numPr>
          <w:ilvl w:val="0"/>
          <w:numId w:val="1003"/>
        </w:numPr>
      </w:pPr>
      <w:r>
        <w:t xml:space="preserve">I (Infectious) — инфицированные, способные заражать восприимчивых;</w:t>
      </w:r>
    </w:p>
    <w:p>
      <w:pPr>
        <w:pStyle w:val="Compact"/>
        <w:numPr>
          <w:ilvl w:val="0"/>
          <w:numId w:val="1003"/>
        </w:numPr>
      </w:pPr>
      <w:r>
        <w:t xml:space="preserve">R (Recovered) — выздоровевшие (или умершие), получившие иммунитет и более</w:t>
      </w:r>
    </w:p>
    <w:bookmarkEnd w:id="14"/>
    <w:bookmarkStart w:id="15" w:name="ограничения-классического-подхода"/>
    <w:p>
      <w:pPr>
        <w:pStyle w:val="Heading2"/>
      </w:pPr>
      <w:r>
        <w:t xml:space="preserve">3.3 Ограничения классического подхода</w:t>
      </w:r>
    </w:p>
    <w:p>
      <w:pPr>
        <w:pStyle w:val="FirstParagraph"/>
      </w:pPr>
      <w:r>
        <w:t xml:space="preserve">Несмотря на широкое применение, модель на ОДУ имеет ряд ограничений:</w:t>
      </w:r>
    </w:p>
    <w:p>
      <w:pPr>
        <w:pStyle w:val="Compact"/>
        <w:numPr>
          <w:ilvl w:val="0"/>
          <w:numId w:val="1004"/>
        </w:numPr>
      </w:pPr>
      <w:r>
        <w:t xml:space="preserve">Однородность популяции — все индивиды считаются одинаковыми.</w:t>
      </w:r>
    </w:p>
    <w:p>
      <w:pPr>
        <w:pStyle w:val="Compact"/>
        <w:numPr>
          <w:ilvl w:val="0"/>
          <w:numId w:val="1004"/>
        </w:numPr>
      </w:pPr>
      <w:r>
        <w:t xml:space="preserve">Отсутствие пространственной структуры — предполагается полное перемешивание.</w:t>
      </w:r>
    </w:p>
    <w:p>
      <w:pPr>
        <w:pStyle w:val="Compact"/>
        <w:numPr>
          <w:ilvl w:val="0"/>
          <w:numId w:val="1004"/>
        </w:numPr>
      </w:pPr>
      <w:r>
        <w:t xml:space="preserve">Детерминированность — не учитываются случайные флуктуации.</w:t>
      </w:r>
    </w:p>
    <w:p>
      <w:pPr>
        <w:pStyle w:val="Compact"/>
        <w:numPr>
          <w:ilvl w:val="0"/>
          <w:numId w:val="1004"/>
        </w:numPr>
      </w:pPr>
      <w:r>
        <w:t xml:space="preserve">Непрерывность — количество людей рассматривается как непрерывная величина.</w:t>
      </w:r>
    </w:p>
    <w:bookmarkEnd w:id="15"/>
    <w:bookmarkStart w:id="16" w:name="преимущества-агентного-подхода"/>
    <w:p>
      <w:pPr>
        <w:pStyle w:val="Heading2"/>
      </w:pPr>
      <w:r>
        <w:t xml:space="preserve">3.4 Преимущества агентного подхода</w:t>
      </w:r>
    </w:p>
    <w:p>
      <w:pPr>
        <w:pStyle w:val="FirstParagraph"/>
      </w:pPr>
      <w:r>
        <w:t xml:space="preserve">Несмотря на широкое применение, модель на ОДУ имеет ряд ограничений:</w:t>
      </w:r>
    </w:p>
    <w:p>
      <w:pPr>
        <w:pStyle w:val="Compact"/>
        <w:numPr>
          <w:ilvl w:val="0"/>
          <w:numId w:val="1005"/>
        </w:numPr>
      </w:pPr>
      <w:r>
        <w:t xml:space="preserve">Однородность популяции — все индивиды считаются одинаковыми.</w:t>
      </w:r>
    </w:p>
    <w:p>
      <w:pPr>
        <w:pStyle w:val="Compact"/>
        <w:numPr>
          <w:ilvl w:val="0"/>
          <w:numId w:val="1006"/>
        </w:numPr>
      </w:pPr>
      <w:r>
        <w:t xml:space="preserve">reinfection_probability — вероятность повторного заражения;</w:t>
      </w:r>
    </w:p>
    <w:p>
      <w:pPr>
        <w:pStyle w:val="Compact"/>
        <w:numPr>
          <w:ilvl w:val="0"/>
          <w:numId w:val="1006"/>
        </w:numPr>
      </w:pPr>
      <w:r>
        <w:t xml:space="preserve">migration_rates — матрица вероятностей миграции между локациями.</w:t>
      </w:r>
    </w:p>
    <w:bookmarkEnd w:id="16"/>
    <w:bookmarkStart w:id="17" w:name="динамика"/>
    <w:p>
      <w:pPr>
        <w:pStyle w:val="Heading2"/>
      </w:pPr>
      <w:r>
        <w:t xml:space="preserve">3.5 Динамика</w:t>
      </w:r>
    </w:p>
    <w:p>
      <w:pPr>
        <w:pStyle w:val="FirstParagraph"/>
      </w:pPr>
      <w:r>
        <w:t xml:space="preserve">На каждом шаге (соответствует одному дню) для каждого агента выполняются</w:t>
      </w:r>
      <w:r>
        <w:t xml:space="preserve"> </w:t>
      </w:r>
      <w:r>
        <w:t xml:space="preserve">следующие процессы :</w:t>
      </w:r>
    </w:p>
    <w:p>
      <w:pPr>
        <w:pStyle w:val="Compact"/>
        <w:numPr>
          <w:ilvl w:val="0"/>
          <w:numId w:val="1007"/>
        </w:numPr>
      </w:pPr>
      <w:r>
        <w:t xml:space="preserve">Миграция — агент может переместиться в другую локацию с вероятностью,</w:t>
      </w:r>
      <w:r>
        <w:t xml:space="preserve"> </w:t>
      </w:r>
      <w:r>
        <w:t xml:space="preserve">заданной матрицей migration_rates.</w:t>
      </w:r>
    </w:p>
    <w:p>
      <w:pPr>
        <w:pStyle w:val="Compact"/>
        <w:numPr>
          <w:ilvl w:val="0"/>
          <w:numId w:val="1007"/>
        </w:numPr>
      </w:pPr>
      <w:r>
        <w:t xml:space="preserve">Передача инфекции — если агент инфицирован, он может заразить восприимчивых агентов в той же локации. Количество заражённых за день определяется</w:t>
      </w:r>
      <w:r>
        <w:t xml:space="preserve"> </w:t>
      </w:r>
      <w:r>
        <w:t xml:space="preserve">пуассоновским процессом с интенсивностью, зависящей от статуса выявления</w:t>
      </w:r>
      <w:r>
        <w:t xml:space="preserve"> </w:t>
      </w:r>
      <w:r>
        <w:t xml:space="preserve">(β_und или β_det).</w:t>
      </w:r>
    </w:p>
    <w:p>
      <w:pPr>
        <w:pStyle w:val="Compact"/>
        <w:numPr>
          <w:ilvl w:val="0"/>
          <w:numId w:val="1007"/>
        </w:numPr>
      </w:pPr>
      <w:r>
        <w:t xml:space="preserve">Обновление счётчика — для инфицированных увеличивается days_infected.</w:t>
      </w:r>
    </w:p>
    <w:p>
      <w:pPr>
        <w:pStyle w:val="Compact"/>
        <w:numPr>
          <w:ilvl w:val="0"/>
          <w:numId w:val="1007"/>
        </w:numPr>
      </w:pPr>
      <w:r>
        <w:t xml:space="preserve">Выздоровление или смерть — если days_infected достиг infection_period,</w:t>
      </w:r>
      <w:r>
        <w:t xml:space="preserve"> </w:t>
      </w:r>
      <w:r>
        <w:t xml:space="preserve">агент либо выздоравливает (переходит в R), либо умирает (удаляется из модели)</w:t>
      </w:r>
      <w:r>
        <w:t xml:space="preserve"> </w:t>
      </w:r>
      <w:r>
        <w:t xml:space="preserve">с вероятностью death_rate. Выздоровевшие могут быть повторно инфицированы с вероятностью reinfection_probability.</w:t>
      </w:r>
    </w:p>
    <w:bookmarkEnd w:id="17"/>
    <w:bookmarkStart w:id="18" w:name="выполнение-лабораторной-работы"/>
    <w:p>
      <w:pPr>
        <w:pStyle w:val="Heading2"/>
      </w:pPr>
      <w:r>
        <w:t xml:space="preserve">3.6 Выполнение лабораторной работы</w:t>
      </w:r>
    </w:p>
    <w:bookmarkEnd w:id="18"/>
    <w:bookmarkStart w:id="23" w:name="код-модели"/>
    <w:p>
      <w:pPr>
        <w:pStyle w:val="Heading2"/>
      </w:pPr>
      <w:r>
        <w:t xml:space="preserve">3.7 Код модели</w:t>
      </w:r>
    </w:p>
    <w:p>
      <w:pPr>
        <w:pStyle w:val="FirstParagraph"/>
      </w:pPr>
      <w:r>
        <w:t xml:space="preserve">Создаю скрипт модели, который будет использоваться как основа для дальнейшей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1"/>
          <w:p>
            <w:pPr>
              <w:pStyle w:val="Compact"/>
              <w:jc w:val="center"/>
            </w:pPr>
            <w:r>
              <w:drawing>
                <wp:inline>
                  <wp:extent cx="3733800" cy="3118104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8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sir_model</w:t>
            </w:r>
          </w:p>
          <w:bookmarkEnd w:id="22"/>
        </w:tc>
      </w:tr>
    </w:tbl>
    <w:bookmarkEnd w:id="23"/>
    <w:bookmarkStart w:id="28" w:name="базовый-эксперимент"/>
    <w:p>
      <w:pPr>
        <w:pStyle w:val="Heading2"/>
      </w:pPr>
      <w:r>
        <w:t xml:space="preserve">3.8 Базовый эксперимент</w:t>
      </w:r>
    </w:p>
    <w:p>
      <w:pPr>
        <w:pStyle w:val="FirstParagraph"/>
      </w:pPr>
      <w:r>
        <w:t xml:space="preserve">Далее создаю и запускаю скрипт с базовым экспериментом, который запускает один эксперимент с фиксированными параметрами и сохраняет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2"/>
          <w:p>
            <w:pPr>
              <w:pStyle w:val="Compact"/>
              <w:jc w:val="center"/>
            </w:pPr>
            <w:r>
              <w:drawing>
                <wp:inline>
                  <wp:extent cx="3733800" cy="507223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7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sir_run_basic</w:t>
            </w:r>
          </w:p>
          <w:bookmarkEnd w:id="27"/>
        </w:tc>
      </w:tr>
    </w:tbl>
    <w:bookmarkEnd w:id="28"/>
    <w:bookmarkStart w:id="33" w:name="базовый-эксперимент-1"/>
    <w:p>
      <w:pPr>
        <w:pStyle w:val="Heading2"/>
      </w:pPr>
      <w:r>
        <w:t xml:space="preserve">3.9 Базовый эксперимент</w:t>
      </w:r>
    </w:p>
    <w:p>
      <w:pPr>
        <w:pStyle w:val="FirstParagraph"/>
      </w:pPr>
      <w:r>
        <w:t xml:space="preserve">Создаю все производные форматы(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89351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3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производные форматы</w:t>
            </w:r>
          </w:p>
          <w:bookmarkEnd w:id="32"/>
        </w:tc>
      </w:tr>
    </w:tbl>
    <w:bookmarkEnd w:id="33"/>
    <w:bookmarkStart w:id="38" w:name="базовый-эксперимент-2"/>
    <w:p>
      <w:pPr>
        <w:pStyle w:val="Heading2"/>
      </w:pPr>
      <w:r>
        <w:t xml:space="preserve">3.10 Базовый эксперимент</w:t>
      </w:r>
    </w:p>
    <w:p>
      <w:pPr>
        <w:pStyle w:val="FirstParagraph"/>
      </w:pPr>
      <w:r>
        <w:t xml:space="preserve">Запускаю jupyter notebook(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89607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notebook</w:t>
            </w:r>
          </w:p>
          <w:bookmarkEnd w:id="37"/>
        </w:tc>
      </w:tr>
    </w:tbl>
    <w:bookmarkEnd w:id="38"/>
    <w:bookmarkStart w:id="43" w:name="базовый-эксперимент-3"/>
    <w:p>
      <w:pPr>
        <w:pStyle w:val="Heading2"/>
      </w:pPr>
      <w:r>
        <w:t xml:space="preserve">3.11 Базовый эксперимент</w:t>
      </w:r>
    </w:p>
    <w:p>
      <w:pPr>
        <w:pStyle w:val="FirstParagraph"/>
      </w:pPr>
      <w:r>
        <w:t xml:space="preserve">Получаем следующий график(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sir_basic_dynamics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notebook</w:t>
            </w:r>
          </w:p>
          <w:bookmarkEnd w:id="42"/>
        </w:tc>
      </w:tr>
    </w:tbl>
    <w:bookmarkEnd w:id="43"/>
    <w:bookmarkStart w:id="48" w:name="сканирование-коэффициента-заразности"/>
    <w:p>
      <w:pPr>
        <w:pStyle w:val="Heading2"/>
      </w:pPr>
      <w:r>
        <w:t xml:space="preserve">3.12 Сканирование коэффициента заразности</w:t>
      </w:r>
    </w:p>
    <w:p>
      <w:pPr>
        <w:pStyle w:val="FirstParagraph"/>
      </w:pPr>
      <w:r>
        <w:t xml:space="preserve">Создаю скрипт, который исследует, как изменение базовой заразности влияет на эпидемические показатели(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91994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9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sir_scan_beta</w:t>
            </w:r>
          </w:p>
          <w:bookmarkEnd w:id="47"/>
        </w:tc>
      </w:tr>
    </w:tbl>
    <w:bookmarkEnd w:id="48"/>
    <w:bookmarkStart w:id="53" w:name="сканирование-коэффициента-заразности-1"/>
    <w:p>
      <w:pPr>
        <w:pStyle w:val="Heading2"/>
      </w:pPr>
      <w:r>
        <w:t xml:space="preserve">3.13 Сканирование коэффициента заразности</w:t>
      </w:r>
    </w:p>
    <w:p>
      <w:pPr>
        <w:pStyle w:val="FirstParagraph"/>
      </w:pPr>
      <w:r>
        <w:t xml:space="preserve">Запускаю данный скрипт(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216292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2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</w:t>
            </w:r>
          </w:p>
          <w:bookmarkEnd w:id="52"/>
        </w:tc>
      </w:tr>
    </w:tbl>
    <w:bookmarkEnd w:id="53"/>
    <w:bookmarkStart w:id="58" w:name="сканирование-коэффициента-заразности-2"/>
    <w:p>
      <w:pPr>
        <w:pStyle w:val="Heading2"/>
      </w:pPr>
      <w:r>
        <w:t xml:space="preserve">3.14 Сканирование коэффициента заразности</w:t>
      </w:r>
    </w:p>
    <w:p>
      <w:pPr>
        <w:pStyle w:val="FirstParagraph"/>
      </w:pPr>
      <w:r>
        <w:t xml:space="preserve">Проверяю создание .csv файла с результатами(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177633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6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csv</w:t>
            </w:r>
          </w:p>
          <w:bookmarkEnd w:id="57"/>
        </w:tc>
      </w:tr>
    </w:tbl>
    <w:bookmarkEnd w:id="58"/>
    <w:bookmarkStart w:id="63" w:name="сканирование-коэффициента-заразности-3"/>
    <w:p>
      <w:pPr>
        <w:pStyle w:val="Heading2"/>
      </w:pPr>
      <w:r>
        <w:t xml:space="preserve">3.15 Сканирование коэффициента заразности</w:t>
      </w:r>
    </w:p>
    <w:p>
      <w:pPr>
        <w:pStyle w:val="FirstParagraph"/>
      </w:pPr>
      <w:r>
        <w:t xml:space="preserve">Создаю производные файлы(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9"/>
          <w:p>
            <w:pPr>
              <w:pStyle w:val="Compact"/>
              <w:jc w:val="center"/>
            </w:pPr>
            <w:r>
              <w:drawing>
                <wp:inline>
                  <wp:extent cx="3733800" cy="89639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6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notebook</w:t>
            </w:r>
          </w:p>
          <w:bookmarkEnd w:id="62"/>
        </w:tc>
      </w:tr>
    </w:tbl>
    <w:bookmarkEnd w:id="63"/>
    <w:bookmarkStart w:id="68" w:name="сканирование-коэффициента-заразности-4"/>
    <w:p>
      <w:pPr>
        <w:pStyle w:val="Heading2"/>
      </w:pPr>
      <w:r>
        <w:t xml:space="preserve">3.16 Сканирование коэффициента заразности</w:t>
      </w:r>
    </w:p>
    <w:p>
      <w:pPr>
        <w:pStyle w:val="FirstParagraph"/>
      </w:pPr>
      <w:r>
        <w:t xml:space="preserve">Запускаю ноутбук(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0"/>
          <w:p>
            <w:pPr>
              <w:pStyle w:val="Compact"/>
              <w:jc w:val="center"/>
            </w:pPr>
            <w:r>
              <w:drawing>
                <wp:inline>
                  <wp:extent cx="3733800" cy="196713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7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notebook</w:t>
            </w:r>
          </w:p>
          <w:bookmarkEnd w:id="67"/>
        </w:tc>
      </w:tr>
    </w:tbl>
    <w:bookmarkEnd w:id="68"/>
    <w:bookmarkStart w:id="73" w:name="сканирование-коэффициента-заразности-5"/>
    <w:p>
      <w:pPr>
        <w:pStyle w:val="Heading2"/>
      </w:pPr>
      <w:r>
        <w:t xml:space="preserve">3.17 Сканирование коэффициента заразности</w:t>
      </w:r>
    </w:p>
    <w:p>
      <w:pPr>
        <w:pStyle w:val="FirstParagraph"/>
      </w:pPr>
      <w:r>
        <w:t xml:space="preserve">После запуска сприпта получился следующий график(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beta_scan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beta_scan.png</w:t>
            </w:r>
          </w:p>
          <w:bookmarkEnd w:id="72"/>
        </w:tc>
      </w:tr>
    </w:tbl>
    <w:bookmarkEnd w:id="73"/>
    <w:bookmarkStart w:id="78" w:name="исследование-эффекта-миграции"/>
    <w:p>
      <w:pPr>
        <w:pStyle w:val="Heading2"/>
      </w:pPr>
      <w:r>
        <w:t xml:space="preserve">3.18 Исследование эффекта миграции</w:t>
      </w:r>
    </w:p>
    <w:p>
      <w:pPr>
        <w:pStyle w:val="FirstParagraph"/>
      </w:pPr>
      <w:r>
        <w:t xml:space="preserve">Создаю скрипт, который исследует, как эффективность перемещения людей между городами влияет на скорость распространения эпидемии и масштаб пика(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2"/>
          <w:p>
            <w:pPr>
              <w:pStyle w:val="Compact"/>
              <w:jc w:val="center"/>
            </w:pPr>
            <w:r>
              <w:drawing>
                <wp:inline>
                  <wp:extent cx="3733800" cy="267773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7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миграция</w:t>
            </w:r>
          </w:p>
          <w:bookmarkEnd w:id="77"/>
        </w:tc>
      </w:tr>
    </w:tbl>
    <w:bookmarkEnd w:id="78"/>
    <w:bookmarkStart w:id="83" w:name="исследование-эффекта-миграции-1"/>
    <w:p>
      <w:pPr>
        <w:pStyle w:val="Heading2"/>
      </w:pPr>
      <w:r>
        <w:t xml:space="preserve">3.19 Исследование эффекта миграции</w:t>
      </w:r>
    </w:p>
    <w:p>
      <w:pPr>
        <w:pStyle w:val="FirstParagraph"/>
      </w:pPr>
      <w:r>
        <w:t xml:space="preserve">Запускаю данный скрипт(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3"/>
          <w:p>
            <w:pPr>
              <w:pStyle w:val="Compact"/>
              <w:jc w:val="center"/>
            </w:pPr>
            <w:r>
              <w:drawing>
                <wp:inline>
                  <wp:extent cx="3733800" cy="259889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8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запуск</w:t>
            </w:r>
          </w:p>
          <w:bookmarkEnd w:id="82"/>
        </w:tc>
      </w:tr>
    </w:tbl>
    <w:bookmarkEnd w:id="83"/>
    <w:bookmarkStart w:id="88" w:name="исследование-эффекта-миграции-2"/>
    <w:p>
      <w:pPr>
        <w:pStyle w:val="Heading2"/>
      </w:pPr>
      <w:r>
        <w:t xml:space="preserve">3.20 Исследование эффекта миграции</w:t>
      </w:r>
    </w:p>
    <w:p>
      <w:pPr>
        <w:pStyle w:val="FirstParagraph"/>
      </w:pPr>
      <w:r>
        <w:t xml:space="preserve">Проверяю наличия файла csv с результатами скрипта(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4"/>
          <w:p>
            <w:pPr>
              <w:pStyle w:val="Compact"/>
              <w:jc w:val="center"/>
            </w:pPr>
            <w:r>
              <w:drawing>
                <wp:inline>
                  <wp:extent cx="3733800" cy="2209134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9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csv</w:t>
            </w:r>
          </w:p>
          <w:bookmarkEnd w:id="87"/>
        </w:tc>
      </w:tr>
    </w:tbl>
    <w:bookmarkEnd w:id="88"/>
    <w:bookmarkStart w:id="93" w:name="исследование-эффекта-миграции-3"/>
    <w:p>
      <w:pPr>
        <w:pStyle w:val="Heading2"/>
      </w:pPr>
      <w:r>
        <w:t xml:space="preserve">3.21 Исследование эффекта миграции</w:t>
      </w:r>
    </w:p>
    <w:p>
      <w:pPr>
        <w:pStyle w:val="FirstParagraph"/>
      </w:pPr>
      <w:r>
        <w:t xml:space="preserve">Создаю все производные форматы(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5"/>
          <w:p>
            <w:pPr>
              <w:pStyle w:val="Compact"/>
              <w:jc w:val="center"/>
            </w:pPr>
            <w:r>
              <w:drawing>
                <wp:inline>
                  <wp:extent cx="3733800" cy="95845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8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notebook</w:t>
            </w:r>
          </w:p>
          <w:bookmarkEnd w:id="92"/>
        </w:tc>
      </w:tr>
    </w:tbl>
    <w:bookmarkEnd w:id="93"/>
    <w:bookmarkStart w:id="98" w:name="исследование-эффекта-миграции-4"/>
    <w:p>
      <w:pPr>
        <w:pStyle w:val="Heading2"/>
      </w:pPr>
      <w:r>
        <w:t xml:space="preserve">3.22 Исследование эффекта миграции</w:t>
      </w:r>
    </w:p>
    <w:p>
      <w:pPr>
        <w:pStyle w:val="FirstParagraph"/>
      </w:pPr>
      <w:r>
        <w:t xml:space="preserve">Запускаю файл ноутбук(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6"/>
          <w:p>
            <w:pPr>
              <w:pStyle w:val="Compact"/>
              <w:jc w:val="center"/>
            </w:pPr>
            <w:r>
              <w:drawing>
                <wp:inline>
                  <wp:extent cx="3733800" cy="223267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2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notebook</w:t>
            </w:r>
          </w:p>
          <w:bookmarkEnd w:id="97"/>
        </w:tc>
      </w:tr>
    </w:tbl>
    <w:bookmarkEnd w:id="98"/>
    <w:bookmarkStart w:id="103" w:name="исследование-эффекта-миграции-5"/>
    <w:p>
      <w:pPr>
        <w:pStyle w:val="Heading2"/>
      </w:pPr>
      <w:r>
        <w:t xml:space="preserve">3.23 Исследование эффекта миграции</w:t>
      </w:r>
    </w:p>
    <w:p>
      <w:pPr>
        <w:pStyle w:val="FirstParagraph"/>
      </w:pPr>
      <w:r>
        <w:t xml:space="preserve">Получаю следующий график(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migration_effect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migration_effect.png</w:t>
            </w:r>
          </w:p>
          <w:bookmarkEnd w:id="102"/>
        </w:tc>
      </w:tr>
    </w:tbl>
    <w:bookmarkEnd w:id="103"/>
    <w:bookmarkStart w:id="108" w:name="X73ed8a3ed7a95a8ea31a9468f9f0d3bf1bafb61"/>
    <w:p>
      <w:pPr>
        <w:pStyle w:val="Heading2"/>
      </w:pPr>
      <w:r>
        <w:t xml:space="preserve">3.24 Многокритериальная опитимизация параметров</w:t>
      </w:r>
    </w:p>
    <w:p>
      <w:pPr>
        <w:pStyle w:val="FirstParagraph"/>
      </w:pPr>
      <w:r>
        <w:t xml:space="preserve">Создаю и запускаю скрипт, который ищет оптимальные комбинации параметров, минимизирующие одновременно два критерия: пиковую заболеваемоть и долю умерших(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18"/>
          <w:p>
            <w:pPr>
              <w:pStyle w:val="Compact"/>
              <w:jc w:val="center"/>
            </w:pPr>
            <w:r>
              <w:drawing>
                <wp:inline>
                  <wp:extent cx="3733800" cy="1391928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1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опитимизация</w:t>
            </w:r>
          </w:p>
          <w:bookmarkEnd w:id="107"/>
        </w:tc>
      </w:tr>
    </w:tbl>
    <w:bookmarkEnd w:id="108"/>
    <w:bookmarkStart w:id="113" w:name="X847c11a4a3ef4e77196e54a5be400d83b50a820"/>
    <w:p>
      <w:pPr>
        <w:pStyle w:val="Heading2"/>
      </w:pPr>
      <w:r>
        <w:t xml:space="preserve">3.25 Многокритериальная опитимизация параметров</w:t>
      </w:r>
    </w:p>
    <w:p>
      <w:pPr>
        <w:pStyle w:val="FirstParagraph"/>
      </w:pPr>
      <w:r>
        <w:t xml:space="preserve">Создаю все производные форматы(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19"/>
          <w:p>
            <w:pPr>
              <w:pStyle w:val="Compact"/>
              <w:jc w:val="center"/>
            </w:pPr>
            <w:r>
              <w:drawing>
                <wp:inline>
                  <wp:extent cx="3733800" cy="778978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8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notebook</w:t>
            </w:r>
          </w:p>
          <w:bookmarkEnd w:id="112"/>
        </w:tc>
      </w:tr>
    </w:tbl>
    <w:bookmarkEnd w:id="113"/>
    <w:bookmarkStart w:id="118" w:name="X3ee7c5248fa811cc020f96a543434f81d8dd50c"/>
    <w:p>
      <w:pPr>
        <w:pStyle w:val="Heading2"/>
      </w:pPr>
      <w:r>
        <w:t xml:space="preserve">3.26 Многокритериальная опитимизация параметров</w:t>
      </w:r>
    </w:p>
    <w:p>
      <w:pPr>
        <w:pStyle w:val="FirstParagraph"/>
      </w:pPr>
      <w:r>
        <w:t xml:space="preserve">Запускаю ноутбук(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0"/>
          <w:p>
            <w:pPr>
              <w:pStyle w:val="Compact"/>
              <w:jc w:val="center"/>
            </w:pPr>
            <w:r>
              <w:drawing>
                <wp:inline>
                  <wp:extent cx="3733800" cy="231640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6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notebook</w:t>
            </w:r>
          </w:p>
          <w:bookmarkEnd w:id="117"/>
        </w:tc>
      </w:tr>
    </w:tbl>
    <w:bookmarkEnd w:id="118"/>
    <w:bookmarkStart w:id="123" w:name="сводная-визуализация-результатов"/>
    <w:p>
      <w:pPr>
        <w:pStyle w:val="Heading2"/>
      </w:pPr>
      <w:r>
        <w:t xml:space="preserve">3.27 Сводная визуализация результатов</w:t>
      </w:r>
    </w:p>
    <w:p>
      <w:pPr>
        <w:pStyle w:val="FirstParagraph"/>
      </w:pPr>
      <w:r>
        <w:t xml:space="preserve">Создаю и запускаю скрипт, который загружает результаты параметрического сканирования и строит единый составной график, объединяющий три панели(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1"/>
          <w:p>
            <w:pPr>
              <w:pStyle w:val="Compact"/>
              <w:jc w:val="center"/>
            </w:pPr>
            <w:r>
              <w:drawing>
                <wp:inline>
                  <wp:extent cx="3733800" cy="1253089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30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визуализация</w:t>
            </w:r>
          </w:p>
          <w:bookmarkEnd w:id="122"/>
        </w:tc>
      </w:tr>
    </w:tbl>
    <w:bookmarkEnd w:id="123"/>
    <w:bookmarkStart w:id="128" w:name="сводная-визуализация-результатов-1"/>
    <w:p>
      <w:pPr>
        <w:pStyle w:val="Heading2"/>
      </w:pPr>
      <w:r>
        <w:t xml:space="preserve">3.28 Сводная визуализация результатов</w:t>
      </w:r>
    </w:p>
    <w:p>
      <w:pPr>
        <w:pStyle w:val="FirstParagraph"/>
      </w:pPr>
      <w:r>
        <w:t xml:space="preserve">Создаю все производные форматы(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2"/>
          <w:p>
            <w:pPr>
              <w:pStyle w:val="Compact"/>
              <w:jc w:val="center"/>
            </w:pPr>
            <w:r>
              <w:drawing>
                <wp:inline>
                  <wp:extent cx="3733800" cy="834928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4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notebook</w:t>
            </w:r>
          </w:p>
          <w:bookmarkEnd w:id="127"/>
        </w:tc>
      </w:tr>
    </w:tbl>
    <w:bookmarkEnd w:id="128"/>
    <w:bookmarkStart w:id="133" w:name="сводная-визуализация-результатов-2"/>
    <w:p>
      <w:pPr>
        <w:pStyle w:val="Heading2"/>
      </w:pPr>
      <w:r>
        <w:t xml:space="preserve">3.29 Сводная визуализация результатов</w:t>
      </w:r>
    </w:p>
    <w:p>
      <w:pPr>
        <w:pStyle w:val="FirstParagraph"/>
      </w:pPr>
      <w:r>
        <w:t xml:space="preserve">Запускаю ноутбук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3"/>
          <w:p>
            <w:pPr>
              <w:pStyle w:val="Compact"/>
              <w:jc w:val="center"/>
            </w:pPr>
            <w:r>
              <w:drawing>
                <wp:inline>
                  <wp:extent cx="3733800" cy="2405255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5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notebook</w:t>
            </w:r>
          </w:p>
          <w:bookmarkEnd w:id="132"/>
        </w:tc>
      </w:tr>
    </w:tbl>
    <w:bookmarkEnd w:id="133"/>
    <w:bookmarkStart w:id="138" w:name="сводная-визуализация-результатов-3"/>
    <w:p>
      <w:pPr>
        <w:pStyle w:val="Heading2"/>
      </w:pPr>
      <w:r>
        <w:t xml:space="preserve">3.30 Сводная визуализация результатов</w:t>
      </w:r>
    </w:p>
    <w:p>
      <w:pPr>
        <w:pStyle w:val="FirstParagraph"/>
      </w:pPr>
      <w:r>
        <w:t xml:space="preserve">В результате получаю следующий график(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4"/>
          <w:p>
            <w:pPr>
              <w:pStyle w:val="Compact"/>
              <w:jc w:val="center"/>
            </w:pPr>
            <w:r>
              <w:drawing>
                <wp:inline>
                  <wp:extent cx="3733800" cy="4201694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comprehensive_analysis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comprehensive_analysis.png</w:t>
            </w:r>
          </w:p>
          <w:bookmarkEnd w:id="137"/>
        </w:tc>
      </w:tr>
    </w:tbl>
    <w:bookmarkEnd w:id="138"/>
    <w:bookmarkStart w:id="139" w:name="выводы"/>
    <w:p>
      <w:pPr>
        <w:pStyle w:val="Heading2"/>
      </w:pPr>
      <w:r>
        <w:t xml:space="preserve">3.31 Выводы</w:t>
      </w:r>
    </w:p>
    <w:p>
      <w:pPr>
        <w:pStyle w:val="FirstParagraph"/>
      </w:pPr>
      <w:r>
        <w:t xml:space="preserve">После выполнения данной лабораторной работы мы создали эпидемическую модель sir через агентный подход</w:t>
      </w:r>
    </w:p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24" Target="media/rId124.png" /><Relationship Type="http://schemas.openxmlformats.org/officeDocument/2006/relationships/image" Id="rId129" Target="media/rId129.png" /><Relationship Type="http://schemas.openxmlformats.org/officeDocument/2006/relationships/image" Id="rId24" Target="media/rId24.png" /><Relationship Type="http://schemas.openxmlformats.org/officeDocument/2006/relationships/image" Id="rId119" Target="media/rId119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134" Target="media/rId134.png" /><Relationship Type="http://schemas.openxmlformats.org/officeDocument/2006/relationships/image" Id="rId99" Target="media/rId99.png" /><Relationship Type="http://schemas.openxmlformats.org/officeDocument/2006/relationships/image" Id="rId39" Target="media/rId39.png" /><Relationship Type="http://schemas.openxmlformats.org/officeDocument/2006/relationships/hyperlink" Id="rId9" Target="mailto:1032228428@pfur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1032228428@pfur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научной презентации</dc:title>
  <dc:creator>Mehmet Efe Kantoz</dc:creator>
  <dc:language>ru-RU</dc:language>
  <cp:keywords/>
  <dcterms:created xsi:type="dcterms:W3CDTF">2026-08-30T01:16:56Z</dcterms:created>
  <dcterms:modified xsi:type="dcterms:W3CDTF">2026-08-30T01:16:56Z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30.08.2026</vt:lpwstr>
  </property>
  <property fmtid="{D5CDD505-2E9C-101B-9397-08002B2CF9AE}" pid="11" name="date-format">
    <vt:lpwstr>30.08.2026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Простейший вариант</vt:lpwstr>
  </property>
  <property fmtid="{D5CDD505-2E9C-101B-9397-08002B2CF9AE}" pid="18" name="toc-title">
    <vt:lpwstr>Содержание</vt:lpwstr>
  </property>
</Properties>
</file>