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58.png" ContentType="image/png"/>
  <Override PartName="/word/media/rId18.png" ContentType="image/png"/>
  <Override PartName="/word/media/rId23.png" ContentType="image/png"/>
  <Override PartName="/word/media/rId28.png" ContentType="image/png"/>
  <Override PartName="/word/media/rId33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№8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Mehmet Efe Kantoz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</w:t>
      </w:r>
      <w:r>
        <w:t xml:space="preserve"> </w:t>
      </w:r>
      <w:r>
        <w:t xml:space="preserve">примере классической модели распространения инфекции SIR. Реализовать стохастическую дискретно-событийную модель в виде программного комплекса на</w:t>
      </w:r>
      <w:r>
        <w:t xml:space="preserve"> </w:t>
      </w:r>
      <w:r>
        <w:t xml:space="preserve">языке Julia. Провести анализ влияния параметров, сравнить со стохастической и</w:t>
      </w:r>
      <w:r>
        <w:t xml:space="preserve"> </w:t>
      </w:r>
      <w:r>
        <w:t xml:space="preserve">детерминированной версиями, оценить производительность и модифицировать</w:t>
      </w:r>
      <w:r>
        <w:t xml:space="preserve"> </w:t>
      </w:r>
      <w:r>
        <w:t xml:space="preserve">[</w:t>
      </w:r>
      <w:r>
        <w:rPr>
          <w:b/>
          <w:bCs/>
        </w:rPr>
        <w:t xml:space="preserve">RUDN_ESystem?</w:t>
      </w:r>
      <w:r>
        <w:t xml:space="preserve">]</w:t>
      </w:r>
      <w:r>
        <w:t xml:space="preserve"> </w:t>
      </w:r>
      <w:r>
        <w:t xml:space="preserve">модель.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общий-алгоритм"/>
    <w:p>
      <w:pPr>
        <w:pStyle w:val="Heading2"/>
      </w:pPr>
      <w:r>
        <w:t xml:space="preserve">3.1 Общий алгоритм</w:t>
      </w:r>
    </w:p>
    <w:p>
      <w:pPr>
        <w:pStyle w:val="FirstParagraph"/>
      </w:pPr>
      <w:r>
        <w:t xml:space="preserve">Программа моделирует стохастическое распространение инфекции в полностью</w:t>
      </w:r>
      <w:r>
        <w:t xml:space="preserve"> </w:t>
      </w:r>
      <w:r>
        <w:t xml:space="preserve">смешивающейся популяции конечного размера. В отличие от детерминированной системы ОДУ, здесь наблюдаются случайные флуктуации, а также возможны</w:t>
      </w:r>
      <w:r>
        <w:t xml:space="preserve"> </w:t>
      </w:r>
      <w:r>
        <w:t xml:space="preserve">ранние вымирания от инфекции при малых начальных I.</w:t>
      </w:r>
    </w:p>
    <w:p>
      <w:pPr>
        <w:pStyle w:val="Compact"/>
        <w:numPr>
          <w:ilvl w:val="0"/>
          <w:numId w:val="1004"/>
        </w:numPr>
      </w:pPr>
      <w:r>
        <w:t xml:space="preserve">Инициализация: создание объектов индивидов с начальными статусами, инициализация статистических массивов.</w:t>
      </w:r>
    </w:p>
    <w:p>
      <w:pPr>
        <w:pStyle w:val="Compact"/>
        <w:numPr>
          <w:ilvl w:val="0"/>
          <w:numId w:val="1004"/>
        </w:numPr>
      </w:pPr>
      <w:r>
        <w:t xml:space="preserve">Планирование процессов: для каждого индивида создаётся параллельный</w:t>
      </w:r>
      <w:r>
        <w:t xml:space="preserve"> </w:t>
      </w:r>
      <w:r>
        <w:t xml:space="preserve">процесс (</w:t>
      </w:r>
      <w:r>
        <w:t xml:space="preserve">[</w:t>
      </w:r>
      <w:r>
        <w:rPr>
          <w:b/>
          <w:bCs/>
        </w:rPr>
        <w:t xml:space="preserve">process?</w:t>
      </w:r>
      <w:r>
        <w:t xml:space="preserve">]</w:t>
      </w:r>
      <w:r>
        <w:t xml:space="preserve">), реализующий его жизненный цикл.</w:t>
      </w:r>
    </w:p>
    <w:p>
      <w:pPr>
        <w:pStyle w:val="Compact"/>
        <w:numPr>
          <w:ilvl w:val="0"/>
          <w:numId w:val="1004"/>
        </w:numPr>
      </w:pPr>
      <w:r>
        <w:t xml:space="preserve">Запуск симуляции: ConcurrentSim.run продвигает виртуальное время, обрабатывая события в хронологическом порядке. Каждый timeout добавляет событие в календарь; когда время</w:t>
      </w:r>
    </w:p>
    <w:p>
      <w:pPr>
        <w:pStyle w:val="Compact"/>
        <w:numPr>
          <w:ilvl w:val="0"/>
          <w:numId w:val="1004"/>
        </w:numPr>
      </w:pPr>
      <w:r>
        <w:t xml:space="preserve">Сбор статистики: в момент изменения состояния индивида обновляются временные ряды Sa, Ia, Ra, а также запоминается текущее время.</w:t>
      </w:r>
    </w:p>
    <w:p>
      <w:pPr>
        <w:pStyle w:val="Compact"/>
        <w:numPr>
          <w:ilvl w:val="0"/>
          <w:numId w:val="1004"/>
        </w:numPr>
      </w:pPr>
      <w:r>
        <w:t xml:space="preserve">Завершение: по достижении tf симуляция останавливается. Все накопленные</w:t>
      </w:r>
      <w:r>
        <w:t xml:space="preserve"> </w:t>
      </w:r>
      <w:r>
        <w:t xml:space="preserve">ряды экспортируются в таблицу.</w:t>
      </w:r>
    </w:p>
    <w:p>
      <w:pPr>
        <w:pStyle w:val="Compact"/>
        <w:numPr>
          <w:ilvl w:val="0"/>
          <w:numId w:val="1004"/>
        </w:numPr>
      </w:pPr>
      <w:r>
        <w:t xml:space="preserve">Постобработка: построение графиков, сохранение результатов.</w:t>
      </w:r>
    </w:p>
    <w:bookmarkEnd w:id="11"/>
    <w:bookmarkEnd w:id="12"/>
    <w:bookmarkStart w:id="6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7" w:name="создание-ядра-программы"/>
    <w:p>
      <w:pPr>
        <w:pStyle w:val="Heading2"/>
      </w:pPr>
      <w:r>
        <w:t xml:space="preserve">4.1 Создание ядра программы</w:t>
      </w:r>
    </w:p>
    <w:p>
      <w:pPr>
        <w:pStyle w:val="FirstParagraph"/>
      </w:pPr>
      <w:r>
        <w:t xml:space="preserve">Создаю ядро программы, которое будет использоваться в основном коде (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001"/>
          <w:p>
            <w:pPr>
              <w:pStyle w:val="Compact"/>
              <w:jc w:val="center"/>
            </w:pPr>
            <w:r>
              <w:drawing>
                <wp:inline>
                  <wp:extent cx="3200400" cy="3108136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108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Ядро программы</w:t>
            </w:r>
          </w:p>
          <w:bookmarkEnd w:id="16"/>
        </w:tc>
      </w:tr>
    </w:tbl>
    <w:bookmarkEnd w:id="17"/>
    <w:bookmarkStart w:id="22" w:name="основной-код-модели"/>
    <w:p>
      <w:pPr>
        <w:pStyle w:val="Heading2"/>
      </w:pPr>
      <w:r>
        <w:t xml:space="preserve">4.2 Основной код модели</w:t>
      </w:r>
    </w:p>
    <w:p>
      <w:pPr>
        <w:pStyle w:val="FirstParagraph"/>
      </w:pPr>
      <w:r>
        <w:t xml:space="preserve">Создаю основной код с базовым прогоном модели (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2"/>
          <w:p>
            <w:pPr>
              <w:pStyle w:val="Compact"/>
              <w:jc w:val="center"/>
            </w:pPr>
            <w:r>
              <w:drawing>
                <wp:inline>
                  <wp:extent cx="3200400" cy="3561287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561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Базовый прогон</w:t>
            </w:r>
          </w:p>
          <w:bookmarkEnd w:id="21"/>
        </w:tc>
      </w:tr>
    </w:tbl>
    <w:bookmarkEnd w:id="22"/>
    <w:bookmarkStart w:id="27" w:name="запуск-базового-прогона"/>
    <w:p>
      <w:pPr>
        <w:pStyle w:val="Heading2"/>
      </w:pPr>
      <w:r>
        <w:t xml:space="preserve">4.3 Запуск базового прогона</w:t>
      </w:r>
    </w:p>
    <w:p>
      <w:pPr>
        <w:pStyle w:val="FirstParagraph"/>
      </w:pPr>
      <w:r>
        <w:t xml:space="preserve">Запускаю базовый прогон (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3"/>
          <w:p>
            <w:pPr>
              <w:pStyle w:val="Compact"/>
              <w:jc w:val="center"/>
            </w:pPr>
            <w:r>
              <w:drawing>
                <wp:inline>
                  <wp:extent cx="3200400" cy="39113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91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</w:t>
            </w:r>
          </w:p>
          <w:bookmarkEnd w:id="26"/>
        </w:tc>
      </w:tr>
    </w:tbl>
    <w:bookmarkEnd w:id="27"/>
    <w:bookmarkStart w:id="32" w:name="генерация-форматов-1"/>
    <w:p>
      <w:pPr>
        <w:pStyle w:val="Heading2"/>
      </w:pPr>
      <w:r>
        <w:t xml:space="preserve">4.4 Генерация форматов (1)</w:t>
      </w:r>
    </w:p>
    <w:p>
      <w:pPr>
        <w:pStyle w:val="FirstParagraph"/>
      </w:pPr>
      <w:r>
        <w:t xml:space="preserve">Создаю все производные форматы (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4"/>
          <w:p>
            <w:pPr>
              <w:pStyle w:val="Compact"/>
              <w:jc w:val="center"/>
            </w:pPr>
            <w:r>
              <w:drawing>
                <wp:inline>
                  <wp:extent cx="3200400" cy="132513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25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Производные форматы</w:t>
            </w:r>
          </w:p>
          <w:bookmarkEnd w:id="31"/>
        </w:tc>
      </w:tr>
    </w:tbl>
    <w:bookmarkEnd w:id="32"/>
    <w:bookmarkStart w:id="37" w:name="запуск-notebook"/>
    <w:p>
      <w:pPr>
        <w:pStyle w:val="Heading2"/>
      </w:pPr>
      <w:r>
        <w:t xml:space="preserve">4.5 Запуск Notebook</w:t>
      </w:r>
    </w:p>
    <w:p>
      <w:pPr>
        <w:pStyle w:val="FirstParagraph"/>
      </w:pPr>
      <w:r>
        <w:t xml:space="preserve">Запускаю файл notebook (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5"/>
          <w:p>
            <w:pPr>
              <w:pStyle w:val="Compact"/>
              <w:jc w:val="center"/>
            </w:pPr>
            <w:r>
              <w:drawing>
                <wp:inline>
                  <wp:extent cx="3200400" cy="214030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140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notebook</w:t>
            </w:r>
          </w:p>
          <w:bookmarkEnd w:id="36"/>
        </w:tc>
      </w:tr>
    </w:tbl>
    <w:bookmarkEnd w:id="37"/>
    <w:bookmarkStart w:id="42" w:name="результат-моделирования"/>
    <w:p>
      <w:pPr>
        <w:pStyle w:val="Heading2"/>
      </w:pPr>
      <w:r>
        <w:t xml:space="preserve">4.6 Результат моделирования</w:t>
      </w:r>
    </w:p>
    <w:p>
      <w:pPr>
        <w:pStyle w:val="FirstParagraph"/>
      </w:pPr>
      <w:r>
        <w:t xml:space="preserve">В результате получаю следующий график (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6"/>
          <w:p>
            <w:pPr>
              <w:pStyle w:val="Compact"/>
              <w:jc w:val="center"/>
            </w:pPr>
            <w:r>
              <w:drawing>
                <wp:inline>
                  <wp:extent cx="3200400" cy="213185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131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 модели</w:t>
            </w:r>
          </w:p>
          <w:bookmarkEnd w:id="41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β, c, γ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Запуск модели</w:t>
      </w:r>
    </w:p>
    <w:p>
      <w:pPr>
        <w:pStyle w:val="SourceCode"/>
      </w:pPr>
      <w:r>
        <w:rPr>
          <w:rStyle w:val="NormalTok"/>
        </w:rPr>
        <w:t xml:space="preserve">des_model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(u0, p)</w:t>
      </w:r>
      <w:r>
        <w:br/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(des_model)</w:t>
      </w:r>
      <w:r>
        <w:br/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(des_model, tmax)</w:t>
      </w:r>
      <w:r>
        <w:br/>
      </w:r>
      <w:r>
        <w:rPr>
          <w:rStyle w:val="NormalTok"/>
        </w:rPr>
        <w:t xml:space="preserve">data_des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(des_model)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PreprocessorTok"/>
        </w:rPr>
        <w:t xml:space="preserve">@df</w:t>
      </w:r>
      <w:r>
        <w:rPr>
          <w:rStyle w:val="NormalTok"/>
        </w:rPr>
        <w:t xml:space="preserve"> data_des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"Дискретно-событийная SIR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))</w:t>
      </w:r>
    </w:p>
    <w:bookmarkEnd w:id="42"/>
    <w:bookmarkStart w:id="47" w:name="модификация-параметров"/>
    <w:p>
      <w:pPr>
        <w:pStyle w:val="Heading2"/>
      </w:pPr>
      <w:r>
        <w:t xml:space="preserve">4.7 Модификация параметров</w:t>
      </w:r>
    </w:p>
    <w:p>
      <w:pPr>
        <w:pStyle w:val="FirstParagraph"/>
      </w:pPr>
      <w:r>
        <w:t xml:space="preserve">Далее модифицирую код, в котором задаю разные значения для модели и запускаю его (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7"/>
          <w:p>
            <w:pPr>
              <w:pStyle w:val="Compact"/>
              <w:jc w:val="center"/>
            </w:pPr>
            <w:r>
              <w:drawing>
                <wp:inline>
                  <wp:extent cx="3200400" cy="112795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27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Новый код</w:t>
            </w:r>
          </w:p>
          <w:bookmarkEnd w:id="46"/>
        </w:tc>
      </w:tr>
    </w:tbl>
    <w:bookmarkEnd w:id="47"/>
    <w:bookmarkStart w:id="52" w:name="генерация-форматов-2"/>
    <w:p>
      <w:pPr>
        <w:pStyle w:val="Heading2"/>
      </w:pPr>
      <w:r>
        <w:t xml:space="preserve">4.8 Генерация форматов (2)</w:t>
      </w:r>
    </w:p>
    <w:p>
      <w:pPr>
        <w:pStyle w:val="FirstParagraph"/>
      </w:pPr>
      <w:r>
        <w:t xml:space="preserve">Создаю все производные форматы (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8"/>
          <w:p>
            <w:pPr>
              <w:pStyle w:val="Compact"/>
              <w:jc w:val="center"/>
            </w:pPr>
            <w:r>
              <w:drawing>
                <wp:inline>
                  <wp:extent cx="3200400" cy="13045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0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Производные форматы</w:t>
            </w:r>
          </w:p>
          <w:bookmarkEnd w:id="51"/>
        </w:tc>
      </w:tr>
    </w:tbl>
    <w:bookmarkEnd w:id="52"/>
    <w:bookmarkStart w:id="57" w:name="запуск-измененного-notebook"/>
    <w:p>
      <w:pPr>
        <w:pStyle w:val="Heading2"/>
      </w:pPr>
      <w:r>
        <w:t xml:space="preserve">4.9 Запуск измененного Notebook</w:t>
      </w:r>
    </w:p>
    <w:p>
      <w:pPr>
        <w:pStyle w:val="FirstParagraph"/>
      </w:pPr>
      <w:r>
        <w:t xml:space="preserve">Запускаю файл notebook (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200400" cy="276715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767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notebook</w:t>
            </w:r>
          </w:p>
          <w:bookmarkEnd w:id="56"/>
        </w:tc>
      </w:tr>
    </w:tbl>
    <w:bookmarkEnd w:id="57"/>
    <w:bookmarkStart w:id="62" w:name="итоговые-графики"/>
    <w:p>
      <w:pPr>
        <w:pStyle w:val="Heading2"/>
      </w:pPr>
      <w:r>
        <w:t xml:space="preserve">4.10 Итоговые графики</w:t>
      </w:r>
    </w:p>
    <w:p>
      <w:pPr>
        <w:pStyle w:val="FirstParagraph"/>
      </w:pPr>
      <w:r>
        <w:t xml:space="preserve">В результате получаю следующие графики (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200400" cy="205413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54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График модели</w:t>
            </w:r>
          </w:p>
          <w:bookmarkEnd w:id="61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       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β, c, γ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Запуск модели</w:t>
      </w:r>
    </w:p>
    <w:p>
      <w:pPr>
        <w:pStyle w:val="SourceCode"/>
      </w:pPr>
      <w:r>
        <w:rPr>
          <w:rStyle w:val="NormalTok"/>
        </w:rPr>
        <w:t xml:space="preserve">des_model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(u0, p)</w:t>
      </w:r>
      <w:r>
        <w:br/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(des_model)</w:t>
      </w:r>
      <w:r>
        <w:br/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(des_model, tmax)</w:t>
      </w:r>
      <w:r>
        <w:br/>
      </w:r>
      <w:r>
        <w:rPr>
          <w:rStyle w:val="NormalTok"/>
        </w:rPr>
        <w:t xml:space="preserve">data_des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(des_model)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PreprocessorTok"/>
        </w:rPr>
        <w:t xml:space="preserve">@df</w:t>
      </w:r>
      <w:r>
        <w:rPr>
          <w:rStyle w:val="NormalTok"/>
        </w:rPr>
        <w:t xml:space="preserve"> data_des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"Дискретно-событийная SIR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))</w:t>
      </w:r>
    </w:p>
    <w:bookmarkEnd w:id="62"/>
    <w:bookmarkEnd w:id="63"/>
    <w:bookmarkStart w:id="6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После выполнения данной лабораторной работы мы изучили дискретно-событийный подход к имитационному моделированию на примере классической модели распространения инфекции SIR.</w:t>
      </w:r>
    </w:p>
    <w:bookmarkEnd w:id="64"/>
    <w:bookmarkStart w:id="66" w:name="список-литературы"/>
    <w:p>
      <w:pPr>
        <w:pStyle w:val="Heading1"/>
      </w:pPr>
      <w:r>
        <w:t xml:space="preserve">Список литературы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58" Target="media/rId58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Mehmet Efe Kantoz</dc:creator>
  <dc:language>ru-RU</dc:language>
  <cp:keywords/>
  <dcterms:created xsi:type="dcterms:W3CDTF">2026-09-01T17:00:26Z</dcterms:created>
  <dcterms:modified xsi:type="dcterms:W3CDTF">2026-09-01T17:00:26Z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