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0186" w14:textId="77777777" w:rsidR="007E6F23" w:rsidRDefault="007E6F23" w:rsidP="0028565D">
      <w:pPr>
        <w:spacing w:after="0" w:line="240" w:lineRule="auto"/>
        <w:rPr>
          <w:rFonts w:cs="Times New Roman"/>
          <w:b/>
          <w:sz w:val="26"/>
          <w:szCs w:val="26"/>
          <w:lang w:val="en-GB"/>
        </w:rPr>
      </w:pPr>
    </w:p>
    <w:p w14:paraId="7CE261A5" w14:textId="77777777" w:rsidR="0028565D" w:rsidRDefault="0028565D" w:rsidP="002856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79655049"/>
      <w:bookmarkStart w:id="1" w:name="_Hlk202053441"/>
      <w:bookmarkEnd w:id="1"/>
      <w:r w:rsidRPr="0028565D">
        <w:rPr>
          <w:rFonts w:ascii="Times New Roman" w:hAnsi="Times New Roman" w:cs="Times New Roman"/>
          <w:b/>
          <w:bCs/>
          <w:sz w:val="24"/>
          <w:szCs w:val="24"/>
          <w:lang w:val="en-US"/>
        </w:rPr>
        <w:t>Enhancing the Benefit of the Doubt model through ‘Ensemble-DEA’: Achieving the Sustainable Development Goals</w:t>
      </w:r>
    </w:p>
    <w:p w14:paraId="13C8EFF4" w14:textId="77777777" w:rsidR="0028565D" w:rsidRPr="00627E6F" w:rsidRDefault="0028565D" w:rsidP="0028565D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1EAA249B" w14:textId="77777777" w:rsidR="0028565D" w:rsidRPr="00413CDD" w:rsidRDefault="0028565D" w:rsidP="0028565D">
      <w:pPr>
        <w:spacing w:line="360" w:lineRule="auto"/>
        <w:jc w:val="center"/>
        <w:rPr>
          <w:rFonts w:ascii="Times New Roman" w:hAnsi="Times New Roman" w:cs="Times New Roman"/>
        </w:rPr>
      </w:pPr>
      <w:r w:rsidRPr="00413CDD">
        <w:rPr>
          <w:rFonts w:ascii="Times New Roman" w:hAnsi="Times New Roman" w:cs="Times New Roman"/>
        </w:rPr>
        <w:t xml:space="preserve">Juan </w:t>
      </w:r>
      <w:proofErr w:type="spellStart"/>
      <w:r w:rsidRPr="00413CDD">
        <w:rPr>
          <w:rFonts w:ascii="Times New Roman" w:hAnsi="Times New Roman" w:cs="Times New Roman"/>
        </w:rPr>
        <w:t>Aparicio</w:t>
      </w:r>
      <w:r>
        <w:rPr>
          <w:rFonts w:ascii="Times New Roman" w:hAnsi="Times New Roman" w:cs="Times New Roman"/>
          <w:vertAlign w:val="superscript"/>
        </w:rPr>
        <w:t>a</w:t>
      </w:r>
      <w:r w:rsidRPr="00413CDD"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  <w:vertAlign w:val="superscript"/>
        </w:rPr>
        <w:t>b</w:t>
      </w:r>
      <w:proofErr w:type="spellEnd"/>
      <w:r w:rsidRPr="00413CDD">
        <w:rPr>
          <w:rFonts w:ascii="Times New Roman" w:hAnsi="Times New Roman" w:cs="Times New Roman"/>
        </w:rPr>
        <w:t xml:space="preserve">, Magdalena </w:t>
      </w:r>
      <w:proofErr w:type="spellStart"/>
      <w:r w:rsidRPr="00413CDD">
        <w:rPr>
          <w:rFonts w:ascii="Times New Roman" w:hAnsi="Times New Roman" w:cs="Times New Roman"/>
        </w:rPr>
        <w:t>Kapelko</w:t>
      </w:r>
      <w:r>
        <w:rPr>
          <w:rFonts w:ascii="Times New Roman" w:hAnsi="Times New Roman" w:cs="Times New Roman"/>
          <w:vertAlign w:val="superscript"/>
        </w:rPr>
        <w:t>c</w:t>
      </w:r>
      <w:proofErr w:type="spellEnd"/>
      <w:r>
        <w:rPr>
          <w:rFonts w:ascii="Times New Roman" w:hAnsi="Times New Roman" w:cs="Times New Roman"/>
          <w:vertAlign w:val="superscript"/>
        </w:rPr>
        <w:t>*</w:t>
      </w:r>
      <w:r w:rsidRPr="00413CDD">
        <w:rPr>
          <w:rFonts w:ascii="Times New Roman" w:hAnsi="Times New Roman" w:cs="Times New Roman"/>
        </w:rPr>
        <w:t xml:space="preserve">, Juan </w:t>
      </w:r>
      <w:r>
        <w:rPr>
          <w:rFonts w:ascii="Times New Roman" w:hAnsi="Times New Roman" w:cs="Times New Roman"/>
        </w:rPr>
        <w:t xml:space="preserve">F. </w:t>
      </w:r>
      <w:proofErr w:type="spellStart"/>
      <w:r>
        <w:rPr>
          <w:rFonts w:ascii="Times New Roman" w:hAnsi="Times New Roman" w:cs="Times New Roman"/>
        </w:rPr>
        <w:t>Monge</w:t>
      </w:r>
      <w:r>
        <w:rPr>
          <w:rFonts w:ascii="Times New Roman" w:hAnsi="Times New Roman" w:cs="Times New Roman"/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 xml:space="preserve"> and José L. </w:t>
      </w:r>
      <w:proofErr w:type="spellStart"/>
      <w:r>
        <w:rPr>
          <w:rFonts w:ascii="Times New Roman" w:hAnsi="Times New Roman" w:cs="Times New Roman"/>
        </w:rPr>
        <w:t>Zofío</w:t>
      </w:r>
      <w:r>
        <w:rPr>
          <w:rFonts w:ascii="Times New Roman" w:hAnsi="Times New Roman" w:cs="Times New Roman"/>
          <w:vertAlign w:val="superscript"/>
        </w:rPr>
        <w:t>d,e</w:t>
      </w:r>
      <w:proofErr w:type="spellEnd"/>
    </w:p>
    <w:p w14:paraId="004B144C" w14:textId="77777777" w:rsidR="0028565D" w:rsidRPr="00D87391" w:rsidRDefault="0028565D" w:rsidP="0028565D">
      <w:pPr>
        <w:spacing w:after="0" w:line="360" w:lineRule="auto"/>
        <w:ind w:left="144" w:hanging="144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GB"/>
        </w:rPr>
        <w:t>a</w:t>
      </w:r>
      <w:r w:rsidRPr="0065478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r w:rsidRPr="0065478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Center of Operations Research. </w:t>
      </w:r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Miguel </w:t>
      </w:r>
      <w:proofErr w:type="spellStart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>Hernandez</w:t>
      </w:r>
      <w:proofErr w:type="spellEnd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>University</w:t>
      </w:r>
      <w:proofErr w:type="spellEnd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Elche, Avda. de la Universidad s/n, E-03202 Elche, </w:t>
      </w:r>
      <w:proofErr w:type="spellStart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>Spain</w:t>
      </w:r>
      <w:proofErr w:type="spellEnd"/>
      <w:r w:rsidRPr="00D87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5B564DBF" w14:textId="77777777" w:rsidR="0028565D" w:rsidRPr="0065478F" w:rsidRDefault="0028565D" w:rsidP="0028565D">
      <w:pPr>
        <w:spacing w:after="0" w:line="360" w:lineRule="auto"/>
        <w:ind w:left="144" w:hanging="14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b</w:t>
      </w:r>
      <w:r w:rsidRPr="0065478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478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valgrAI</w:t>
      </w:r>
      <w:proofErr w:type="spellEnd"/>
      <w:r w:rsidRPr="0065478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Valencian Graduate School and Research Network of Artificial Intelligence, Valencia, Spain.</w:t>
      </w:r>
    </w:p>
    <w:p w14:paraId="18F183B0" w14:textId="77777777" w:rsidR="0028565D" w:rsidRPr="0065478F" w:rsidRDefault="0028565D" w:rsidP="0028565D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c</w:t>
      </w:r>
      <w:r w:rsidRPr="0065478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Department of Logistics. Wroclaw University of Economics and Business, Wroclaw, Poland.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0455BD00" w14:textId="77777777" w:rsidR="0028565D" w:rsidRDefault="0028565D" w:rsidP="0028565D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d</w:t>
      </w:r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>Department</w:t>
      </w:r>
      <w:proofErr w:type="spellEnd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proofErr w:type="spellEnd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>Economics</w:t>
      </w:r>
      <w:proofErr w:type="spellEnd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Universidad Autónoma de Madrid,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Madrid</w:t>
      </w:r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>Spain</w:t>
      </w:r>
      <w:proofErr w:type="spellEnd"/>
      <w:r w:rsidRPr="006547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840561B" w14:textId="77777777" w:rsidR="0028565D" w:rsidRPr="00D87391" w:rsidRDefault="0028565D" w:rsidP="0028565D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D8739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GB"/>
        </w:rPr>
        <w:t>e</w:t>
      </w:r>
      <w:r w:rsidRPr="00D87391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Erasmus Research Institute of Management, Erasmus University, Rotterdam, The Netherlands.</w:t>
      </w:r>
    </w:p>
    <w:p w14:paraId="073430FD" w14:textId="77777777" w:rsidR="0028565D" w:rsidRPr="00B10E23" w:rsidRDefault="0028565D" w:rsidP="002856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12"/>
          <w:szCs w:val="12"/>
          <w:vertAlign w:val="superscript"/>
          <w:lang w:val="en-US"/>
        </w:rPr>
      </w:pPr>
    </w:p>
    <w:bookmarkEnd w:id="0"/>
    <w:p w14:paraId="784811F4" w14:textId="77777777" w:rsidR="0028565D" w:rsidRDefault="0028565D" w:rsidP="0028565D">
      <w:pPr>
        <w:spacing w:after="0" w:line="360" w:lineRule="auto"/>
        <w:jc w:val="both"/>
        <w:rPr>
          <w:rStyle w:val="Hipercze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44069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*</w:t>
      </w:r>
      <w:r w:rsidRPr="0014406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Corresponding author </w:t>
      </w:r>
    </w:p>
    <w:p w14:paraId="7FE5B8BF" w14:textId="77777777" w:rsidR="0028565D" w:rsidRPr="00B10E23" w:rsidRDefault="0028565D" w:rsidP="0028565D">
      <w:pPr>
        <w:spacing w:after="0" w:line="360" w:lineRule="auto"/>
        <w:jc w:val="both"/>
        <w:rPr>
          <w:rStyle w:val="Hipercze"/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</w:p>
    <w:p w14:paraId="2AED6203" w14:textId="77777777" w:rsidR="0028565D" w:rsidRDefault="0028565D" w:rsidP="0028565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bookmarkStart w:id="2" w:name="_Hlk179675489"/>
      <w:r w:rsidRPr="00E037F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E-mail addresses: j.aparicio@umh.es (J. </w:t>
      </w:r>
      <w:r w:rsidRPr="00D873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Aparicio), </w:t>
      </w:r>
      <w:hyperlink r:id="rId7" w:history="1">
        <w:r w:rsidRPr="00D87391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magdalena.kapelko@ue.wroc.pl</w:t>
        </w:r>
      </w:hyperlink>
      <w:r w:rsidRPr="00D873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(M. Kapelko), </w:t>
      </w:r>
      <w:r w:rsidRPr="00D87391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monge@umh.es (J.F. Monge), jose.zofio@uam.es (</w:t>
      </w:r>
      <w:r w:rsidRPr="00D87391">
        <w:rPr>
          <w:rFonts w:ascii="Times New Roman" w:hAnsi="Times New Roman" w:cs="Times New Roman"/>
          <w:sz w:val="20"/>
          <w:szCs w:val="20"/>
          <w:lang w:val="en-GB"/>
        </w:rPr>
        <w:t xml:space="preserve">J.L. </w:t>
      </w:r>
      <w:proofErr w:type="spellStart"/>
      <w:r w:rsidRPr="00D87391">
        <w:rPr>
          <w:rFonts w:ascii="Times New Roman" w:hAnsi="Times New Roman" w:cs="Times New Roman"/>
          <w:sz w:val="20"/>
          <w:szCs w:val="20"/>
          <w:lang w:val="en-GB"/>
        </w:rPr>
        <w:t>Zofío</w:t>
      </w:r>
      <w:proofErr w:type="spellEnd"/>
      <w:r w:rsidRPr="00D87391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28211E6C" w14:textId="77777777" w:rsidR="0028565D" w:rsidRDefault="0028565D" w:rsidP="0028565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03D3ABF" w14:textId="77777777" w:rsidR="0028565D" w:rsidRDefault="0028565D" w:rsidP="0028565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2B08BCC" w14:textId="77777777" w:rsidR="0028565D" w:rsidRDefault="0028565D" w:rsidP="0028565D">
      <w:p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</w:p>
    <w:p w14:paraId="582D20F6" w14:textId="77777777" w:rsidR="0028565D" w:rsidRPr="00D87391" w:rsidRDefault="0028565D" w:rsidP="0028565D">
      <w:p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</w:p>
    <w:bookmarkEnd w:id="2"/>
    <w:p w14:paraId="6CF8DD28" w14:textId="571F3EDB" w:rsidR="007E6F23" w:rsidRPr="00837C28" w:rsidRDefault="007E6F23" w:rsidP="007E6F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37C28">
        <w:rPr>
          <w:rFonts w:ascii="Times New Roman" w:hAnsi="Times New Roman" w:cs="Times New Roman"/>
          <w:b/>
          <w:sz w:val="24"/>
          <w:szCs w:val="24"/>
          <w:lang w:val="en-GB"/>
        </w:rPr>
        <w:t>MATHEMATICAL MODELS</w:t>
      </w:r>
    </w:p>
    <w:p w14:paraId="23291C6C" w14:textId="3C50E401" w:rsidR="007E6F23" w:rsidRPr="0028565D" w:rsidRDefault="007E6F23" w:rsidP="007E6F23">
      <w:pPr>
        <w:spacing w:before="120" w:line="360" w:lineRule="auto"/>
        <w:jc w:val="both"/>
        <w:rPr>
          <w:rFonts w:ascii="Times New Roman" w:hAnsi="Times New Roman" w:cs="Times New Roman"/>
          <w:lang w:val="en-GB"/>
        </w:rPr>
      </w:pPr>
      <w:r w:rsidRPr="0028565D">
        <w:rPr>
          <w:rFonts w:ascii="Times New Roman" w:hAnsi="Times New Roman" w:cs="Times New Roman"/>
          <w:lang w:val="en-GB"/>
        </w:rPr>
        <w:t xml:space="preserve">The </w:t>
      </w:r>
      <w:r w:rsidRPr="0028565D">
        <w:rPr>
          <w:rFonts w:ascii="Times New Roman" w:hAnsi="Times New Roman" w:cs="Times New Roman"/>
          <w:lang w:val="en-GB"/>
        </w:rPr>
        <w:t xml:space="preserve">model to be solved for unit </w:t>
      </w:r>
      <w:r w:rsidRPr="0028565D">
        <w:rPr>
          <w:rFonts w:ascii="Times New Roman" w:hAnsi="Times New Roman" w:cs="Times New Roman"/>
          <w:position w:val="-14"/>
          <w:lang w:val="en-GB"/>
        </w:rPr>
        <w:object w:dxaOrig="620" w:dyaOrig="360" w14:anchorId="03886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0pt;height:18pt" o:ole="">
            <v:imagedata r:id="rId8" o:title=""/>
          </v:shape>
          <o:OLEObject Type="Embed" ProgID="Equation.DSMT4" ShapeID="_x0000_i1050" DrawAspect="Content" ObjectID="_1812669365" r:id="rId9"/>
        </w:object>
      </w:r>
      <w:r w:rsidRPr="0028565D">
        <w:rPr>
          <w:rFonts w:ascii="Times New Roman" w:hAnsi="Times New Roman" w:cs="Times New Roman"/>
          <w:lang w:val="en-GB"/>
        </w:rPr>
        <w:t xml:space="preserve"> would be as follows:</w:t>
      </w:r>
    </w:p>
    <w:p w14:paraId="6440137F" w14:textId="5012000F" w:rsidR="007E6F23" w:rsidRPr="0028565D" w:rsidRDefault="007E6F23" w:rsidP="007E6F23">
      <w:pPr>
        <w:pStyle w:val="MTDisplayEquation"/>
        <w:rPr>
          <w:lang w:val="en-GB"/>
        </w:rPr>
      </w:pPr>
      <w:r w:rsidRPr="0028565D">
        <w:rPr>
          <w:noProof/>
          <w:position w:val="-134"/>
          <w:lang w:val="en-GB"/>
        </w:rPr>
        <w:object w:dxaOrig="4140" w:dyaOrig="2780" w14:anchorId="2647F4AD">
          <v:shape id="_x0000_i1025" type="#_x0000_t75" alt="" style="width:209.4pt;height:138pt" o:ole="">
            <v:imagedata r:id="rId10" o:title=""/>
          </v:shape>
          <o:OLEObject Type="Embed" ProgID="Equation.DSMT4" ShapeID="_x0000_i1025" DrawAspect="Content" ObjectID="_1812669366" r:id="rId11"/>
        </w:object>
      </w:r>
      <w:r w:rsidRPr="0028565D">
        <w:rPr>
          <w:lang w:val="en-GB"/>
        </w:rPr>
        <w:tab/>
      </w:r>
    </w:p>
    <w:p w14:paraId="0938CB01" w14:textId="02EC0C82" w:rsidR="007E6F23" w:rsidRDefault="007E6F23" w:rsidP="007E6F23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 w:rsidRPr="0028565D">
        <w:rPr>
          <w:rFonts w:ascii="Times New Roman" w:hAnsi="Times New Roman" w:cs="Times New Roman"/>
          <w:lang w:val="en-GB"/>
        </w:rPr>
        <w:t xml:space="preserve">where </w:t>
      </w:r>
      <w:r w:rsidRPr="0028565D">
        <w:rPr>
          <w:rFonts w:ascii="Times New Roman" w:hAnsi="Times New Roman" w:cs="Times New Roman"/>
          <w:position w:val="-14"/>
          <w:lang w:val="en-GB"/>
        </w:rPr>
        <w:object w:dxaOrig="279" w:dyaOrig="360" w14:anchorId="31825449">
          <v:shape id="_x0000_i1026" type="#_x0000_t75" style="width:12pt;height:18pt" o:ole="">
            <v:imagedata r:id="rId12" o:title=""/>
          </v:shape>
          <o:OLEObject Type="Embed" ProgID="Equation.DSMT4" ShapeID="_x0000_i1026" DrawAspect="Content" ObjectID="_1812669367" r:id="rId13"/>
        </w:object>
      </w:r>
      <w:r w:rsidRPr="0028565D">
        <w:rPr>
          <w:rFonts w:ascii="Times New Roman" w:hAnsi="Times New Roman" w:cs="Times New Roman"/>
          <w:lang w:val="en-GB"/>
        </w:rPr>
        <w:t xml:space="preserve"> and </w:t>
      </w:r>
      <w:r w:rsidRPr="0028565D">
        <w:rPr>
          <w:rFonts w:ascii="Times New Roman" w:hAnsi="Times New Roman" w:cs="Times New Roman"/>
          <w:position w:val="-14"/>
          <w:lang w:val="en-GB"/>
        </w:rPr>
        <w:object w:dxaOrig="240" w:dyaOrig="360" w14:anchorId="6FE83A46">
          <v:shape id="_x0000_i1027" type="#_x0000_t75" style="width:12pt;height:18pt" o:ole="">
            <v:imagedata r:id="rId14" o:title=""/>
          </v:shape>
          <o:OLEObject Type="Embed" ProgID="Equation.DSMT4" ShapeID="_x0000_i1027" DrawAspect="Content" ObjectID="_1812669368" r:id="rId15"/>
        </w:object>
      </w:r>
      <w:r w:rsidRPr="0028565D">
        <w:rPr>
          <w:rFonts w:ascii="Times New Roman" w:hAnsi="Times New Roman" w:cs="Times New Roman"/>
          <w:lang w:val="en-GB"/>
        </w:rPr>
        <w:t xml:space="preserve"> are the set of indices corresponding to the </w:t>
      </w:r>
      <w:r w:rsidRPr="0028565D">
        <w:rPr>
          <w:rFonts w:ascii="Times New Roman" w:hAnsi="Times New Roman" w:cs="Times New Roman"/>
          <w:position w:val="-6"/>
          <w:lang w:val="en-GB"/>
        </w:rPr>
        <w:object w:dxaOrig="240" w:dyaOrig="300" w14:anchorId="3B1093C1">
          <v:shape id="_x0000_i1028" type="#_x0000_t75" style="width:12pt;height:18pt" o:ole="">
            <v:imagedata r:id="rId16" o:title=""/>
          </v:shape>
          <o:OLEObject Type="Embed" ProgID="Equation.DSMT4" ShapeID="_x0000_i1028" DrawAspect="Content" ObjectID="_1812669369" r:id="rId17"/>
        </w:object>
      </w:r>
      <w:r w:rsidRPr="0028565D">
        <w:rPr>
          <w:rFonts w:ascii="Times New Roman" w:hAnsi="Times New Roman" w:cs="Times New Roman"/>
          <w:lang w:val="en-GB"/>
        </w:rPr>
        <w:t xml:space="preserve"> indicators randomly selected from the original set of all indicators and the set of indices corresponding to the </w:t>
      </w:r>
      <w:r w:rsidRPr="0028565D">
        <w:rPr>
          <w:rFonts w:ascii="Times New Roman" w:hAnsi="Times New Roman" w:cs="Times New Roman"/>
          <w:position w:val="-6"/>
          <w:lang w:val="en-GB"/>
        </w:rPr>
        <w:object w:dxaOrig="180" w:dyaOrig="200" w14:anchorId="06012490">
          <v:shape id="_x0000_i1029" type="#_x0000_t75" style="width:6pt;height:12pt" o:ole="">
            <v:imagedata r:id="rId18" o:title=""/>
          </v:shape>
          <o:OLEObject Type="Embed" ProgID="Equation.DSMT4" ShapeID="_x0000_i1029" DrawAspect="Content" ObjectID="_1812669370" r:id="rId19"/>
        </w:object>
      </w:r>
      <w:r w:rsidRPr="0028565D">
        <w:rPr>
          <w:rFonts w:ascii="Times New Roman" w:hAnsi="Times New Roman" w:cs="Times New Roman"/>
          <w:lang w:val="en-GB"/>
        </w:rPr>
        <w:t xml:space="preserve"> randomly selected units from the original set of DMUs, respectively, for the subsample </w:t>
      </w:r>
      <w:r w:rsidRPr="0028565D">
        <w:rPr>
          <w:rFonts w:ascii="Times New Roman" w:hAnsi="Times New Roman" w:cs="Times New Roman"/>
          <w:position w:val="-14"/>
          <w:lang w:val="en-GB"/>
        </w:rPr>
        <w:object w:dxaOrig="300" w:dyaOrig="360" w14:anchorId="74E46CCB">
          <v:shape id="_x0000_i1030" type="#_x0000_t75" style="width:18pt;height:18pt" o:ole="">
            <v:imagedata r:id="rId20" o:title=""/>
          </v:shape>
          <o:OLEObject Type="Embed" ProgID="Equation.DSMT4" ShapeID="_x0000_i1030" DrawAspect="Content" ObjectID="_1812669371" r:id="rId21"/>
        </w:object>
      </w:r>
      <w:r w:rsidRPr="0028565D">
        <w:rPr>
          <w:rFonts w:ascii="Times New Roman" w:hAnsi="Times New Roman" w:cs="Times New Roman"/>
          <w:lang w:val="en-GB"/>
        </w:rPr>
        <w:t xml:space="preserve">. </w:t>
      </w:r>
    </w:p>
    <w:p w14:paraId="4F1489C5" w14:textId="77777777" w:rsidR="0028565D" w:rsidRDefault="0028565D" w:rsidP="007E6F23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14:paraId="38D6CBAB" w14:textId="77777777" w:rsidR="0028565D" w:rsidRPr="0028565D" w:rsidRDefault="0028565D" w:rsidP="007E6F23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14:paraId="75BE1635" w14:textId="058DBF88" w:rsidR="007E6F23" w:rsidRPr="0028565D" w:rsidRDefault="007E6F23" w:rsidP="0028565D">
      <w:pPr>
        <w:spacing w:before="120" w:line="360" w:lineRule="auto"/>
        <w:jc w:val="both"/>
        <w:rPr>
          <w:rFonts w:ascii="Times New Roman" w:hAnsi="Times New Roman" w:cs="Times New Roman"/>
          <w:lang w:val="en-GB"/>
        </w:rPr>
      </w:pPr>
      <w:r w:rsidRPr="0028565D">
        <w:rPr>
          <w:rFonts w:ascii="Times New Roman" w:hAnsi="Times New Roman" w:cs="Times New Roman"/>
          <w:lang w:val="en-GB"/>
        </w:rPr>
        <w:lastRenderedPageBreak/>
        <w:t xml:space="preserve">For </w:t>
      </w:r>
      <w:r w:rsidRPr="0028565D">
        <w:rPr>
          <w:rFonts w:ascii="Times New Roman" w:hAnsi="Times New Roman" w:cs="Times New Roman"/>
          <w:position w:val="-8"/>
          <w:lang w:val="en-GB"/>
        </w:rPr>
        <w:object w:dxaOrig="900" w:dyaOrig="279" w14:anchorId="6B0AA5BB">
          <v:shape id="_x0000_i1032" type="#_x0000_t75" style="width:48pt;height:12pt" o:ole="">
            <v:imagedata r:id="rId22" o:title=""/>
          </v:shape>
          <o:OLEObject Type="Embed" ProgID="Equation.DSMT4" ShapeID="_x0000_i1032" DrawAspect="Content" ObjectID="_1812669372" r:id="rId23"/>
        </w:object>
      </w:r>
      <w:r w:rsidRPr="0028565D">
        <w:rPr>
          <w:rFonts w:ascii="Times New Roman" w:hAnsi="Times New Roman" w:cs="Times New Roman"/>
          <w:lang w:val="en-GB"/>
        </w:rPr>
        <w:t>, the composite indicator is defined as:</w:t>
      </w:r>
    </w:p>
    <w:p w14:paraId="1866EDF6" w14:textId="5D990F9F" w:rsidR="007E6F23" w:rsidRPr="001E29C5" w:rsidRDefault="007E6F23" w:rsidP="007E6F23">
      <w:pPr>
        <w:pStyle w:val="MTDisplayEquation"/>
        <w:rPr>
          <w:lang w:val="en-GB"/>
        </w:rPr>
      </w:pPr>
      <w:r w:rsidRPr="0028565D">
        <w:rPr>
          <w:lang w:val="en-GB"/>
        </w:rPr>
        <w:tab/>
      </w:r>
      <w:r w:rsidRPr="0028565D">
        <w:rPr>
          <w:noProof/>
          <w:position w:val="-34"/>
          <w:lang w:val="en-GB"/>
        </w:rPr>
        <w:object w:dxaOrig="2680" w:dyaOrig="720" w14:anchorId="1284D486">
          <v:shape id="_x0000_i1033" type="#_x0000_t75" alt="" style="width:132pt;height:36pt" o:ole="">
            <v:imagedata r:id="rId24" o:title=""/>
          </v:shape>
          <o:OLEObject Type="Embed" ProgID="Equation.DSMT4" ShapeID="_x0000_i1033" DrawAspect="Content" ObjectID="_1812669373" r:id="rId25"/>
        </w:object>
      </w:r>
      <w:r w:rsidRPr="0028565D">
        <w:rPr>
          <w:lang w:val="en-GB"/>
        </w:rPr>
        <w:t>,</w:t>
      </w:r>
      <w:r w:rsidRPr="001E29C5">
        <w:rPr>
          <w:lang w:val="en-GB"/>
        </w:rPr>
        <w:tab/>
      </w:r>
    </w:p>
    <w:p w14:paraId="7B94977D" w14:textId="3FC3AFD6" w:rsidR="00DF5934" w:rsidRDefault="007E6F23" w:rsidP="007E6F23">
      <w:r w:rsidRPr="001E29C5">
        <w:rPr>
          <w:lang w:val="en-GB"/>
        </w:rPr>
        <w:t xml:space="preserve">where </w:t>
      </w:r>
      <w:r w:rsidRPr="00BB0745">
        <w:rPr>
          <w:position w:val="-16"/>
          <w:lang w:val="en-GB"/>
        </w:rPr>
        <w:object w:dxaOrig="900" w:dyaOrig="420" w14:anchorId="0CD9C737">
          <v:shape id="_x0000_i1034" type="#_x0000_t75" style="width:48pt;height:24pt" o:ole="">
            <v:imagedata r:id="rId26" o:title=""/>
          </v:shape>
          <o:OLEObject Type="Embed" ProgID="Equation.DSMT4" ShapeID="_x0000_i1034" DrawAspect="Content" ObjectID="_1812669374" r:id="rId27"/>
        </w:object>
      </w:r>
      <w:r w:rsidRPr="001E29C5">
        <w:rPr>
          <w:lang w:val="en-GB"/>
        </w:rPr>
        <w:t xml:space="preserve"> is the cardinal of the set </w:t>
      </w:r>
      <w:r w:rsidRPr="00BB0745">
        <w:rPr>
          <w:position w:val="-16"/>
          <w:lang w:val="en-GB"/>
        </w:rPr>
        <w:object w:dxaOrig="1480" w:dyaOrig="420" w14:anchorId="19BC34BE">
          <v:shape id="_x0000_i1035" type="#_x0000_t75" style="width:1in;height:24pt" o:ole="">
            <v:imagedata r:id="rId28" o:title=""/>
          </v:shape>
          <o:OLEObject Type="Embed" ProgID="Equation.DSMT4" ShapeID="_x0000_i1035" DrawAspect="Content" ObjectID="_1812669375" r:id="rId29"/>
        </w:object>
      </w:r>
      <w:r w:rsidRPr="001E29C5">
        <w:rPr>
          <w:lang w:val="en-GB"/>
        </w:rPr>
        <w:t>.</w:t>
      </w:r>
    </w:p>
    <w:sectPr w:rsidR="00DF5934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59934" w14:textId="77777777" w:rsidR="00D06C03" w:rsidRDefault="00D06C03" w:rsidP="007E6F23">
      <w:pPr>
        <w:spacing w:after="0" w:line="240" w:lineRule="auto"/>
      </w:pPr>
      <w:r>
        <w:separator/>
      </w:r>
    </w:p>
  </w:endnote>
  <w:endnote w:type="continuationSeparator" w:id="0">
    <w:p w14:paraId="32969D59" w14:textId="77777777" w:rsidR="00D06C03" w:rsidRDefault="00D06C03" w:rsidP="007E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242590"/>
      <w:docPartObj>
        <w:docPartGallery w:val="Page Numbers (Bottom of Page)"/>
        <w:docPartUnique/>
      </w:docPartObj>
    </w:sdtPr>
    <w:sdtContent>
      <w:p w14:paraId="40CDC029" w14:textId="581470C6" w:rsidR="007E6F23" w:rsidRDefault="007E6F2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EDD5B6E" w14:textId="77777777" w:rsidR="007E6F23" w:rsidRDefault="007E6F2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1B2F9" w14:textId="77777777" w:rsidR="00D06C03" w:rsidRDefault="00D06C03" w:rsidP="007E6F23">
      <w:pPr>
        <w:spacing w:after="0" w:line="240" w:lineRule="auto"/>
      </w:pPr>
      <w:r>
        <w:separator/>
      </w:r>
    </w:p>
  </w:footnote>
  <w:footnote w:type="continuationSeparator" w:id="0">
    <w:p w14:paraId="146B9BDF" w14:textId="77777777" w:rsidR="00D06C03" w:rsidRDefault="00D06C03" w:rsidP="007E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66904"/>
    <w:multiLevelType w:val="hybridMultilevel"/>
    <w:tmpl w:val="97263BFA"/>
    <w:lvl w:ilvl="0" w:tplc="355C7304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870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3"/>
    <w:rsid w:val="0028565D"/>
    <w:rsid w:val="007E6F23"/>
    <w:rsid w:val="00837C28"/>
    <w:rsid w:val="00AA0A0B"/>
    <w:rsid w:val="00D06C03"/>
    <w:rsid w:val="00D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F403"/>
  <w15:chartTrackingRefBased/>
  <w15:docId w15:val="{3C6D4B50-1843-4530-B572-8BF47174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6F23"/>
    <w:pPr>
      <w:spacing w:line="259" w:lineRule="auto"/>
    </w:pPr>
    <w:rPr>
      <w:sz w:val="22"/>
      <w:szCs w:val="22"/>
      <w:lang w:val="es-E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6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6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6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6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6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6F2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6F2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6F2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6F2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6F2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6F2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6F2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6F2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6F2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6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6F2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6F23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ny"/>
    <w:next w:val="Normalny"/>
    <w:link w:val="MTDisplayEquationCar"/>
    <w:rsid w:val="007E6F23"/>
    <w:pPr>
      <w:tabs>
        <w:tab w:val="center" w:pos="4240"/>
        <w:tab w:val="right" w:pos="8500"/>
      </w:tabs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kern w:val="0"/>
      <w:lang w:val="en-US"/>
      <w14:ligatures w14:val="none"/>
    </w:rPr>
  </w:style>
  <w:style w:type="character" w:customStyle="1" w:styleId="MTDisplayEquationCar">
    <w:name w:val="MTDisplayEquation Car"/>
    <w:basedOn w:val="Domylnaczcionkaakapitu"/>
    <w:link w:val="MTDisplayEquation"/>
    <w:rsid w:val="007E6F23"/>
    <w:rPr>
      <w:rFonts w:ascii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7E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6F23"/>
    <w:rPr>
      <w:sz w:val="22"/>
      <w:szCs w:val="22"/>
      <w:lang w:val="es-ES"/>
    </w:rPr>
  </w:style>
  <w:style w:type="paragraph" w:styleId="Stopka">
    <w:name w:val="footer"/>
    <w:basedOn w:val="Normalny"/>
    <w:link w:val="StopkaZnak"/>
    <w:uiPriority w:val="99"/>
    <w:unhideWhenUsed/>
    <w:rsid w:val="007E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6F23"/>
    <w:rPr>
      <w:sz w:val="22"/>
      <w:szCs w:val="22"/>
      <w:lang w:val="es-ES"/>
    </w:rPr>
  </w:style>
  <w:style w:type="character" w:styleId="Hipercze">
    <w:name w:val="Hyperlink"/>
    <w:basedOn w:val="Domylnaczcionkaakapitu"/>
    <w:uiPriority w:val="99"/>
    <w:unhideWhenUsed/>
    <w:rsid w:val="00285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mailto:magdalena.kapelko@ue.wroc.pl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Kapelko</dc:creator>
  <cp:keywords/>
  <dc:description/>
  <cp:lastModifiedBy>Magdalena Kapelko</cp:lastModifiedBy>
  <cp:revision>4</cp:revision>
  <dcterms:created xsi:type="dcterms:W3CDTF">2025-06-29T00:19:00Z</dcterms:created>
  <dcterms:modified xsi:type="dcterms:W3CDTF">2025-06-29T00:25:00Z</dcterms:modified>
</cp:coreProperties>
</file>