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10897C57" w:rsidR="0084205B" w:rsidRDefault="0084205B" w:rsidP="00560355">
      <w:pPr>
        <w:pStyle w:val="Title"/>
        <w:spacing w:after="0" w:line="276" w:lineRule="auto"/>
      </w:pPr>
      <w:bookmarkStart w:id="0" w:name="_Hlk2088139"/>
      <w:r>
        <w:t xml:space="preserve">Data driven approach reveals oceanographic features delineate growth zonation in </w:t>
      </w:r>
      <w:r w:rsidR="00AB4FA7">
        <w:t>northeast</w:t>
      </w:r>
      <w:r>
        <w:t xml:space="preserve"> pacific sablefish</w:t>
      </w:r>
    </w:p>
    <w:p w14:paraId="179BC0BE" w14:textId="77777777" w:rsidR="00AD45C5" w:rsidRPr="00AD45C5" w:rsidRDefault="00AD45C5" w:rsidP="00560355">
      <w:pPr>
        <w:spacing w:line="276" w:lineRule="auto"/>
      </w:pPr>
    </w:p>
    <w:p w14:paraId="146DD023" w14:textId="3DE07E0B" w:rsidR="00F502D0" w:rsidRDefault="00F502D0" w:rsidP="00560355">
      <w:pPr>
        <w:spacing w:after="0" w:line="276" w:lineRule="auto"/>
        <w:rPr>
          <w:vertAlign w:val="superscript"/>
        </w:rPr>
      </w:pPr>
      <w:r w:rsidRPr="0010075F">
        <w:t>Kapur,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857677">
        <w:rPr>
          <w:vertAlign w:val="superscript"/>
        </w:rPr>
        <w:t>1</w:t>
      </w:r>
    </w:p>
    <w:p w14:paraId="5DC19CA9" w14:textId="77777777" w:rsidR="00B82719" w:rsidRDefault="00B82719" w:rsidP="00560355">
      <w:pPr>
        <w:spacing w:after="0" w:line="276" w:lineRule="auto"/>
        <w:rPr>
          <w:vertAlign w:val="superscript"/>
        </w:rPr>
      </w:pPr>
    </w:p>
    <w:p w14:paraId="2A736301" w14:textId="0510A483" w:rsidR="00857677" w:rsidRPr="00B82719" w:rsidRDefault="00857677" w:rsidP="00560355">
      <w:pPr>
        <w:spacing w:after="0" w:line="276" w:lineRule="auto"/>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57677">
      <w:pPr>
        <w:spacing w:after="0" w:line="276" w:lineRule="auto"/>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57677">
      <w:pPr>
        <w:spacing w:after="0" w:line="276" w:lineRule="auto"/>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3141F0">
      <w:pPr>
        <w:shd w:val="clear" w:color="auto" w:fill="FFFFFF"/>
        <w:spacing w:after="0"/>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0320D96" w:rsidR="00232621" w:rsidRPr="00232621" w:rsidRDefault="00857677" w:rsidP="00857677">
      <w:pPr>
        <w:spacing w:after="0" w:line="276" w:lineRule="auto"/>
        <w:rPr>
          <w:color w:val="FF0000"/>
          <w:sz w:val="20"/>
          <w:szCs w:val="20"/>
        </w:rPr>
      </w:pPr>
      <w:r w:rsidRPr="00B82719">
        <w:rPr>
          <w:sz w:val="20"/>
          <w:szCs w:val="20"/>
          <w:vertAlign w:val="superscript"/>
        </w:rPr>
        <w:t xml:space="preserve"> </w:t>
      </w:r>
      <w:r w:rsidR="003141F0">
        <w:rPr>
          <w:sz w:val="20"/>
          <w:szCs w:val="20"/>
          <w:vertAlign w:val="superscript"/>
        </w:rPr>
        <w:t>5</w:t>
      </w:r>
      <w:r w:rsidR="00740A0C">
        <w:rPr>
          <w:sz w:val="20"/>
          <w:szCs w:val="20"/>
          <w:vertAlign w:val="superscript"/>
        </w:rPr>
        <w:t xml:space="preserve"> </w:t>
      </w:r>
      <w:r w:rsidR="00232621">
        <w:rPr>
          <w:color w:val="FF0000"/>
          <w:sz w:val="20"/>
          <w:szCs w:val="20"/>
        </w:rPr>
        <w:t xml:space="preserve">Fill in E Koontz </w:t>
      </w:r>
      <w:proofErr w:type="spellStart"/>
      <w:r w:rsidR="00232621">
        <w:rPr>
          <w:color w:val="FF0000"/>
          <w:sz w:val="20"/>
          <w:szCs w:val="20"/>
        </w:rPr>
        <w:t>affil</w:t>
      </w:r>
      <w:proofErr w:type="spellEnd"/>
      <w:r w:rsidR="00232621">
        <w:rPr>
          <w:color w:val="FF0000"/>
          <w:sz w:val="20"/>
          <w:szCs w:val="20"/>
        </w:rPr>
        <w:t>.</w:t>
      </w:r>
    </w:p>
    <w:p w14:paraId="4AECCAD4" w14:textId="3A7904BB" w:rsidR="00857677" w:rsidRPr="00B82719" w:rsidRDefault="003141F0" w:rsidP="00857677">
      <w:pPr>
        <w:spacing w:after="0" w:line="276" w:lineRule="auto"/>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57677">
      <w:pPr>
        <w:spacing w:after="0" w:line="276" w:lineRule="auto"/>
      </w:pPr>
    </w:p>
    <w:p w14:paraId="61B35DDE" w14:textId="76CBBE05" w:rsidR="00857677" w:rsidRPr="00857677" w:rsidRDefault="00857677" w:rsidP="00857677">
      <w:pPr>
        <w:spacing w:after="0" w:line="276" w:lineRule="auto"/>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331CB171" w:rsidR="00924E93" w:rsidRDefault="00924E93" w:rsidP="00920A4C">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NE Pacific sablefish length-at-age 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79039C8B" w:rsidR="00C240B4" w:rsidRPr="001142BC" w:rsidRDefault="00724656" w:rsidP="00516C53">
      <w:pPr>
        <w:pStyle w:val="CommentText"/>
        <w:spacing w:after="0" w:line="276" w:lineRule="auto"/>
        <w:jc w:val="both"/>
        <w:rPr>
          <w:sz w:val="24"/>
          <w:szCs w:val="24"/>
        </w:rPr>
      </w:pPr>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p>
    <w:p w14:paraId="3F4F410F" w14:textId="3B7CE45C" w:rsidR="00551B60" w:rsidRDefault="00D72180" w:rsidP="00AB4FA7">
      <w:pPr>
        <w:spacing w:after="0" w:line="276" w:lineRule="auto"/>
        <w:ind w:firstLine="360"/>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w:t>
      </w:r>
      <w:r w:rsidR="00F502D0">
        <w:lastRenderedPageBreak/>
        <w:t xml:space="preserve">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0D0CC46F" w:rsidR="00B0174F" w:rsidRDefault="00B10712" w:rsidP="00516C53">
      <w:pPr>
        <w:spacing w:after="0" w:line="276" w:lineRule="auto"/>
        <w:ind w:firstLine="360"/>
        <w:jc w:val="both"/>
      </w:pPr>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870864A" w:rsidR="00B10712" w:rsidRDefault="00B1424C" w:rsidP="00516C53">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1F4CF5A4" w:rsidR="00B10712" w:rsidRDefault="00F07D97" w:rsidP="00516C53">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516C53">
      <w:pPr>
        <w:spacing w:before="120" w:after="12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1E4981E0" w:rsidR="00F502D0" w:rsidRPr="00BE53B7" w:rsidRDefault="00B10712" w:rsidP="00920A4C">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516C53">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16C53">
      <w:pPr>
        <w:pStyle w:val="Caption"/>
        <w:spacing w:before="120" w:after="12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516C53">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16C53">
      <w:pPr>
        <w:pStyle w:val="Caption"/>
        <w:spacing w:before="120" w:after="12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3BA999BF" w:rsidR="00F502D0" w:rsidRDefault="00B67BB0" w:rsidP="00516C53">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 w:name="_Hlk3457523"/>
      <w:bookmarkStart w:id="4" w:name="_Hlk2063522"/>
      <w:r w:rsidR="005E0FFF">
        <w:t xml:space="preserve">These steps are repeated </w:t>
      </w:r>
      <w:r w:rsidR="002360BE">
        <w:t xml:space="preserve">across the range </w:t>
      </w:r>
      <w:r w:rsidR="008F627F">
        <w:t xml:space="preserve">of explored </w:t>
      </w:r>
      <w:r w:rsidR="005E0FFF">
        <w:t>years and longitudes</w:t>
      </w:r>
      <w:bookmarkEnd w:id="3"/>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4"/>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560355">
      <w:pPr>
        <w:spacing w:before="120" w:after="0" w:line="276" w:lineRule="auto"/>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16C53">
      <w:pPr>
        <w:pStyle w:val="Heading2"/>
        <w:spacing w:before="240" w:line="276" w:lineRule="auto"/>
      </w:pPr>
      <w:r>
        <w:t xml:space="preserve">2.2 </w:t>
      </w:r>
      <w:r w:rsidRPr="00101B12">
        <w:t>Simulation Testing</w:t>
      </w:r>
    </w:p>
    <w:p w14:paraId="062CC497" w14:textId="51EBFD5D" w:rsidR="00715ED3" w:rsidRPr="00516C53" w:rsidRDefault="00715ED3" w:rsidP="00560355">
      <w:pPr>
        <w:pStyle w:val="Heading3"/>
        <w:spacing w:line="276" w:lineRule="auto"/>
        <w:rPr>
          <w:i w:val="0"/>
        </w:rPr>
      </w:pPr>
      <w:r w:rsidRPr="00516C53">
        <w:rPr>
          <w:i w:val="0"/>
        </w:rPr>
        <w:t>2.2.1 Outline and design</w:t>
      </w:r>
    </w:p>
    <w:p w14:paraId="1E4940F0" w14:textId="1F499C59" w:rsidR="00F75BC7" w:rsidRDefault="00AA168A" w:rsidP="00516C53">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16C53">
      <w:pPr>
        <w:pStyle w:val="Caption"/>
        <w:spacing w:before="120" w:after="120" w:line="276" w:lineRule="auto"/>
      </w:pPr>
      <w:bookmarkStart w:id="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560355">
      <w:pPr>
        <w:spacing w:after="0" w:line="276" w:lineRule="auto"/>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60B3724B" w:rsidR="001E05C4" w:rsidRDefault="00991E7A" w:rsidP="00516C53">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sidR="006C1803">
        <w:rPr>
          <w:rFonts w:eastAsiaTheme="minorEastAsia"/>
        </w:rPr>
        <w:t>s</w:t>
      </w:r>
      <w:r>
        <w:rPr>
          <w:rFonts w:eastAsiaTheme="minorEastAsia"/>
        </w:rPr>
        <w:t>cenario 2,</w:t>
      </w:r>
      <w:r>
        <w:t xml:space="preserve"> </w:t>
      </w:r>
      <w:r w:rsidR="00473F2A">
        <w:rPr>
          <w:rFonts w:eastAsiaTheme="minorEastAsia"/>
        </w:rPr>
        <w:t xml:space="preserve">the latitude and longitude of 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r w:rsidR="006C1803">
        <w:t>r</w:t>
      </w:r>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rsidR="006C1803">
        <w:t>s</w:t>
      </w:r>
      <w:r>
        <w:t>cenario 3</w:t>
      </w:r>
      <w:r w:rsidR="006C1803">
        <w:t>,</w:t>
      </w:r>
      <w:r>
        <w:t xml:space="preserve"> with the change that fish grown under </w:t>
      </w:r>
      <w:r w:rsidR="006C1803">
        <w:lastRenderedPageBreak/>
        <w:t>r</w:t>
      </w:r>
      <w:r>
        <w:t xml:space="preserve">egime 2 </w:t>
      </w:r>
      <w:r w:rsidR="00952B81">
        <w:t>had</w:t>
      </w:r>
      <w:r>
        <w:t xml:space="preserve"> </w:t>
      </w:r>
      <w:r>
        <w:rPr>
          <w:rFonts w:eastAsiaTheme="minorEastAsia"/>
        </w:rPr>
        <w:t xml:space="preserve">latitude and longitude </w:t>
      </w:r>
      <w:r>
        <w:t>sampled uniformly from 20° to 50°, thus creating an overlap zone</w:t>
      </w:r>
      <w:r w:rsidR="00A1156A">
        <w:t xml:space="preserve"> between 20° and 25°</w:t>
      </w:r>
      <w:r>
        <w:t xml:space="preserve">. </w:t>
      </w:r>
      <w:r w:rsidR="001E05C4">
        <w:t xml:space="preserve"> </w:t>
      </w:r>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516C53">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516C53" w:rsidRDefault="0023745F" w:rsidP="00560355">
      <w:pPr>
        <w:pStyle w:val="Heading3"/>
        <w:spacing w:line="276" w:lineRule="auto"/>
        <w:rPr>
          <w:i w:val="0"/>
        </w:rPr>
      </w:pPr>
      <w:bookmarkStart w:id="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9"/>
    </w:p>
    <w:p w14:paraId="5ED8337B" w14:textId="6F6AFE17" w:rsidR="009C3DE6" w:rsidRDefault="001D6A18" w:rsidP="00516C53">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C18578" w:rsidR="001D6A18" w:rsidRDefault="001D6A18" w:rsidP="00516C53">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56D45874" w:rsidR="002C6B59" w:rsidRPr="002C6B59" w:rsidRDefault="002C6B59" w:rsidP="00516C53">
      <w:pPr>
        <w:spacing w:after="0" w:line="276" w:lineRule="auto"/>
        <w:ind w:firstLine="360"/>
        <w:jc w:val="both"/>
      </w:pPr>
      <w:r>
        <w:lastRenderedPageBreak/>
        <w:t xml:space="preserve">To facilitate comparison between the proposed method and an extant approach, we applied the </w:t>
      </w:r>
      <w:r w:rsidRPr="002C6B59">
        <w:t xml:space="preserve">sequential t-test analysis of regime shifts </w:t>
      </w:r>
      <w:r w:rsidR="00516C53">
        <w:t>in length-at-age for age 6</w:t>
      </w:r>
      <w:r w:rsidR="00516C53" w:rsidRPr="002C6B59">
        <w:t xml:space="preserve"> </w:t>
      </w:r>
      <w:r w:rsidRPr="002C6B59">
        <w:t>(STARS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3BE88BF8" w:rsidR="00F13628" w:rsidRPr="00F13628" w:rsidRDefault="00971118" w:rsidP="00516C53">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09AFD2C2" w:rsidR="00E275EB" w:rsidRPr="00F13628" w:rsidRDefault="009F1890" w:rsidP="00516C53">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5540000A" w:rsidR="008038A0" w:rsidRDefault="00246B09" w:rsidP="00516C53">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the 95% confidence intervals for 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0" w:name="_Ref5718407"/>
      <w:r>
        <w:t xml:space="preserve">3.1 </w:t>
      </w:r>
      <w:r w:rsidR="00506E17">
        <w:t>Simulation Study</w:t>
      </w:r>
      <w:bookmarkEnd w:id="10"/>
    </w:p>
    <w:p w14:paraId="3DCC6CA4" w14:textId="201FC23B" w:rsidR="00C65F22" w:rsidRDefault="00DB2D68" w:rsidP="00516C53">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where it only detected the break location correctly in 20% of simulations</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7E97B95B" w:rsidR="003625DB" w:rsidRDefault="00FF414A" w:rsidP="00516C53">
      <w:pPr>
        <w:spacing w:after="0" w:line="276" w:lineRule="auto"/>
        <w:ind w:firstLine="360"/>
        <w:jc w:val="both"/>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A77355">
        <w:t>63</w:t>
      </w:r>
      <w:r>
        <w:t>%-</w:t>
      </w:r>
      <w:r w:rsidR="00A77355">
        <w:t>95</w:t>
      </w:r>
      <w:r>
        <w:t xml:space="preserve">% coverage for </w:t>
      </w:r>
      <w:r w:rsidR="00506BD6">
        <w:t xml:space="preserve">three </w:t>
      </w:r>
      <w:r w:rsidR="0076504C">
        <w:t>scenarios</w:t>
      </w:r>
      <w:r>
        <w:t xml:space="preserve"> and </w:t>
      </w:r>
      <w:r w:rsidR="00FB0B61">
        <w:t>2</w:t>
      </w:r>
      <w:r w:rsidR="00A77355">
        <w:t>6</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slightly</w:t>
      </w:r>
      <w:r w:rsidR="00FB0B61">
        <w:t xml:space="preserve"> lower</w:t>
      </w:r>
      <w:r w:rsidR="009A2626">
        <w:t xml:space="preserve"> [</w:t>
      </w:r>
      <w:r w:rsidR="00A77355">
        <w:t>47</w:t>
      </w:r>
      <w:r w:rsidR="00FB0B61">
        <w:t>% - 8</w:t>
      </w:r>
      <w:r w:rsidR="00A77355">
        <w:t>9</w:t>
      </w:r>
      <w:r w:rsidR="00FB0B61">
        <w:t>% for three scenarios and 2</w:t>
      </w:r>
      <w:r w:rsidR="00A77355">
        <w:t>4</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9A2626">
        <w:t>s</w:t>
      </w:r>
      <w:r w:rsidR="00F277A3">
        <w:t>cenario 4</w:t>
      </w:r>
      <w:r w:rsidR="009A2626">
        <w:t xml:space="preserve"> </w:t>
      </w:r>
      <w:r w:rsidR="009A2626">
        <w:lastRenderedPageBreak/>
        <w:t>(</w:t>
      </w:r>
      <w:r w:rsidR="009E50E8">
        <w:t xml:space="preserve">a “true” spatial break at </w:t>
      </w:r>
      <w:r w:rsidR="00A77355">
        <w:t>48°</w:t>
      </w:r>
      <w:r w:rsidR="009A2626">
        <w:t>),</w:t>
      </w:r>
      <w:r>
        <w:t xml:space="preserve"> assigning the break </w:t>
      </w:r>
      <w:r w:rsidR="00A77355">
        <w:t>between</w:t>
      </w:r>
      <w:r>
        <w:t xml:space="preserve"> </w:t>
      </w:r>
      <w:r w:rsidR="00A77355">
        <w:t xml:space="preserve">45° and </w:t>
      </w:r>
      <w:r>
        <w:t xml:space="preserve">50° </w:t>
      </w:r>
      <w:r w:rsidR="00A77355">
        <w:t>longitude</w:t>
      </w:r>
      <w:r w:rsidR="00883CE8">
        <w:t xml:space="preserve"> </w:t>
      </w:r>
      <w:r>
        <w:t xml:space="preserve">in </w:t>
      </w:r>
      <w:r w:rsidR="00A77355" w:rsidRPr="00A77355">
        <w:t>78</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w:t>
      </w:r>
      <w:r w:rsidR="00A77355">
        <w:t>48°</w:t>
      </w:r>
      <w:r w:rsidR="00191AED">
        <w:t xml:space="preserve"> was </w:t>
      </w:r>
      <w:r w:rsidR="003916BA">
        <w:t xml:space="preserve">never more than </w:t>
      </w:r>
      <w:r w:rsidR="00EB7A8E">
        <w:t>63</w:t>
      </w:r>
      <w:r w:rsidR="003916BA">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w:t>
      </w:r>
      <w:r w:rsidR="009A2626">
        <w:t>s</w:t>
      </w:r>
      <w:r w:rsidR="00F277A3">
        <w:t xml:space="preserve">cenario 4 </w:t>
      </w:r>
      <w:r w:rsidR="000C31F1">
        <w:t xml:space="preserve">were much higher. </w:t>
      </w:r>
      <w:r w:rsidR="009E50E8">
        <w:t xml:space="preserve">The method </w:t>
      </w:r>
      <w:r w:rsidR="009A2626">
        <w:t xml:space="preserve">achieved </w:t>
      </w:r>
      <w:r w:rsidR="00EB7A8E">
        <w:t>61</w:t>
      </w:r>
      <w:r w:rsidR="009E50E8">
        <w:t>%-</w:t>
      </w:r>
      <w:r w:rsidR="00EB7A8E">
        <w:t>85</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Though the method only detected the correct temporal break (year 50) in 2</w:t>
      </w:r>
      <w:r w:rsidR="00EB7A8E">
        <w:t>9</w:t>
      </w:r>
      <w:r w:rsidR="003916BA">
        <w:t xml:space="preserve">% of time-varying simulations, over half of the remaining simulations assigned the break to year 49 or 51, </w:t>
      </w:r>
      <w:r w:rsidR="009A2626">
        <w:t xml:space="preserve">increasing </w:t>
      </w:r>
      <w:r w:rsidR="003916BA">
        <w:t>the total detection between years 49, 50 and 51 to 7</w:t>
      </w:r>
      <w:r w:rsidR="00AB4D89">
        <w:t>3</w:t>
      </w:r>
      <w:r w:rsidR="003916BA">
        <w:t xml:space="preserve">%.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560355">
      <w:pPr>
        <w:spacing w:after="0" w:line="276" w:lineRule="auto"/>
        <w:ind w:firstLine="360"/>
      </w:pPr>
    </w:p>
    <w:p w14:paraId="01225238" w14:textId="2A921C1D" w:rsidR="00D12C7C" w:rsidRDefault="00D12C7C" w:rsidP="00560355">
      <w:pPr>
        <w:pStyle w:val="Heading2"/>
        <w:spacing w:line="276" w:lineRule="auto"/>
      </w:pPr>
      <w:r>
        <w:t>3.2 Comparison to STARS Method</w:t>
      </w:r>
    </w:p>
    <w:p w14:paraId="1CB8DE86" w14:textId="04535420" w:rsidR="00D12C7C" w:rsidRPr="00D12C7C" w:rsidRDefault="00D12C7C" w:rsidP="00516C53">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6A0E2E">
        <w:t>22</w:t>
      </w:r>
      <w:r w:rsidR="00BE59CB">
        <w:t xml:space="preserve">% of datasets. For all other scenarios, it averaged </w:t>
      </w:r>
      <w:r w:rsidR="00E42F9D">
        <w:t>16</w:t>
      </w:r>
      <w:r w:rsidR="00BE59CB">
        <w:t xml:space="preserve">% accuracy in detecting latitude, </w:t>
      </w:r>
      <w:r w:rsidR="00E42F9D">
        <w:t>1</w:t>
      </w:r>
      <w:r w:rsidR="006A0E2E">
        <w:t>8</w:t>
      </w:r>
      <w:r w:rsidR="00BE59CB">
        <w:t xml:space="preserve">% accuracy in detecting longitude, and only </w:t>
      </w:r>
      <w:r w:rsidR="006A0E2E">
        <w:t>50</w:t>
      </w:r>
      <w:r w:rsidR="00BE59CB">
        <w:t xml:space="preserve">% accuracy for year breaks (compared to </w:t>
      </w:r>
      <w:r w:rsidR="00E42F9D">
        <w:t>95</w:t>
      </w:r>
      <w:r w:rsidR="00BE59CB">
        <w:t xml:space="preserve">%, </w:t>
      </w:r>
      <w:r w:rsidR="006A0E2E">
        <w:t>95</w:t>
      </w:r>
      <w:r w:rsidR="00BE59CB">
        <w:t xml:space="preserve">% and </w:t>
      </w:r>
      <w:r w:rsidR="00E42F9D">
        <w:t>6</w:t>
      </w:r>
      <w:r w:rsidR="006A0E2E">
        <w:t>3</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6A0E2E">
        <w:t>57</w:t>
      </w:r>
      <w:r w:rsidR="00BE59CB">
        <w:t>% vs 6</w:t>
      </w:r>
      <w:r w:rsidR="00AE049E">
        <w:t>2</w:t>
      </w:r>
      <w:r w:rsidR="00BE59CB">
        <w:t xml:space="preserve">% for the GAM-based method) </w:t>
      </w:r>
      <w:r w:rsidR="006A0E2E">
        <w:t>and equivalently</w:t>
      </w:r>
      <w:r w:rsidR="00BE59CB">
        <w:t xml:space="preserve"> in terms of coverage probability for </w:t>
      </w:r>
      <w:r w:rsidR="00A13D12" w:rsidRPr="00845D2A">
        <w:rPr>
          <w:i/>
        </w:rPr>
        <w:t>L</w:t>
      </w:r>
      <w:r w:rsidR="00A13D12" w:rsidRPr="00845D2A">
        <w:rPr>
          <w:i/>
          <w:vertAlign w:val="subscript"/>
        </w:rPr>
        <w:t>2</w:t>
      </w:r>
      <w:r w:rsidR="00BE59CB">
        <w:t xml:space="preserve"> </w:t>
      </w:r>
      <w:r w:rsidR="00A13D12">
        <w:t>(</w:t>
      </w:r>
      <w:r w:rsidR="006A0E2E">
        <w:t>59</w:t>
      </w:r>
      <w:r w:rsidR="00BE59CB">
        <w:t xml:space="preserve">% </w:t>
      </w:r>
      <w:r w:rsidR="00A13D12">
        <w:t xml:space="preserve">for </w:t>
      </w:r>
      <w:r w:rsidR="006A0E2E">
        <w:t>both</w:t>
      </w:r>
      <w:r w:rsidR="00BE59CB">
        <w:t xml:space="preserve">).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035F089E" w:rsidR="00445820" w:rsidRDefault="002869DA" w:rsidP="00516C53">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6F1452">
        <w:t xml:space="preserve"> </w:t>
      </w:r>
      <w:r w:rsidR="00DA6257">
        <w:t xml:space="preserve"> 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4E2DEE">
        <w:t xml:space="preserve"> </w:t>
      </w:r>
      <w:proofErr w:type="gramStart"/>
      <w:r w:rsidR="004E2DEE">
        <w:t>Once</w:t>
      </w:r>
      <w:proofErr w:type="gramEnd"/>
      <w:r w:rsidR="004E2DEE">
        <w:t xml:space="preserv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w:t>
      </w:r>
      <w:r w:rsidR="00362196">
        <w:lastRenderedPageBreak/>
        <w:t>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proofErr w:type="gramStart"/>
      <w:r w:rsidR="00F922C3">
        <w:t xml:space="preserve">4 </w:t>
      </w:r>
      <w:r w:rsidR="00DA6257">
        <w:t xml:space="preserve"> is</w:t>
      </w:r>
      <w:proofErr w:type="gramEnd"/>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16C53">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560355">
      <w:pPr>
        <w:pStyle w:val="Heading2"/>
        <w:spacing w:before="240" w:line="276" w:lineRule="auto"/>
      </w:pPr>
      <w:r>
        <w:t>4.</w:t>
      </w:r>
      <w:r w:rsidR="0002157C">
        <w:t>1</w:t>
      </w:r>
      <w:r>
        <w:t xml:space="preserve"> </w:t>
      </w:r>
      <w:r w:rsidR="00E273B9">
        <w:t>Implications of Simulation Results</w:t>
      </w:r>
    </w:p>
    <w:p w14:paraId="526A7D44" w14:textId="55F5D0C2"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 xml:space="preserve">This still did not preclude detection of spurious spatial or temporal breaks in ~13% of simulations for which no </w:t>
      </w:r>
      <w:r w:rsidR="0002157C">
        <w:t>breakpoints</w:t>
      </w:r>
      <w:r w:rsidR="0002157C" w:rsidRPr="0089790E">
        <w:t xml:space="preserve"> </w:t>
      </w:r>
      <w:proofErr w:type="gramStart"/>
      <w:r w:rsidR="00E273B9" w:rsidRPr="0089790E">
        <w:t>was</w:t>
      </w:r>
      <w:proofErr w:type="gramEnd"/>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corrected for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 xml:space="preserve">at </w:t>
      </w:r>
      <w:r w:rsidR="0002157C">
        <w:t>-</w:t>
      </w:r>
      <w:proofErr w:type="spellStart"/>
      <w:r w:rsidR="00E273B9">
        <w:t>ge</w:t>
      </w:r>
      <w:proofErr w:type="spellEnd"/>
      <w:r w:rsidR="00E273B9">
        <w:t xml:space="preserve"> can be time-dependent but it did not; this may not be the case for other fisheries.</w:t>
      </w:r>
    </w:p>
    <w:p w14:paraId="5905C13A" w14:textId="0E89157E" w:rsidR="00E273B9" w:rsidRPr="008102AB" w:rsidRDefault="00E273B9" w:rsidP="00516C53">
      <w:pPr>
        <w:spacing w:after="0" w:line="276" w:lineRule="auto"/>
        <w:ind w:firstLine="360"/>
        <w:jc w:val="both"/>
        <w:rPr>
          <w:highlight w:val="yellow"/>
        </w:rPr>
      </w:pPr>
      <w:r>
        <w:lastRenderedPageBreak/>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25A0332B" w:rsidR="00AB3A3F" w:rsidRDefault="00A90E3A" w:rsidP="00516C53">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45°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the completely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02157C">
        <w:t xml:space="preserve">lesser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w:t>
      </w:r>
      <w:proofErr w:type="gramStart"/>
      <w:r w:rsidR="00AB3A3F">
        <w:t>it</w:t>
      </w:r>
      <w:proofErr w:type="gramEnd"/>
      <w:r w:rsidR="00AB3A3F">
        <w:t xml:space="preserve">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w:t>
      </w:r>
      <w:r w:rsidR="00AB3A3F">
        <w:lastRenderedPageBreak/>
        <w:t>may induce greater uncertainty (e.g., the need for priors</w:t>
      </w:r>
      <w:r w:rsidR="00516C53">
        <w:t xml:space="preserve"> with higher standard deviations</w:t>
      </w:r>
      <w:r w:rsidR="00AB3A3F">
        <w:t>) until targeted survey sampling can improve precision in less-represented regions.</w:t>
      </w:r>
    </w:p>
    <w:p w14:paraId="228B6A7A" w14:textId="0DD7B9F6" w:rsidR="00A90E3A" w:rsidRDefault="00436D36" w:rsidP="00516C53">
      <w:pPr>
        <w:spacing w:after="0" w:line="276" w:lineRule="auto"/>
        <w:ind w:firstLine="360"/>
        <w:jc w:val="both"/>
        <w:rPr>
          <w:highlight w:val="yellow"/>
        </w:rPr>
      </w:pPr>
      <w:r>
        <w:t xml:space="preserve">It is also relevant that neither </w:t>
      </w:r>
      <w:r w:rsidR="0002157C">
        <w:t xml:space="preserve">the new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w:t>
      </w:r>
      <w:r w:rsidR="00A90E3A" w:rsidRPr="00516C53">
        <w:rPr>
          <w:highlight w:val="yellow"/>
        </w:rPr>
        <w:t xml:space="preserve">. </w:t>
      </w:r>
      <w:r w:rsidR="00516C53" w:rsidRPr="00516C53">
        <w:rPr>
          <w:highlight w:val="yellow"/>
        </w:rPr>
        <w:t>though we did not account for or simulate error or bias introduced from errors in assigned ages to animals</w:t>
      </w:r>
      <w:r w:rsidR="00516C53" w:rsidRPr="00516C53">
        <w:rPr>
          <w:rStyle w:val="CommentReference"/>
          <w:highlight w:val="yellow"/>
        </w:rPr>
        <w:commentReference w:id="11"/>
      </w:r>
      <w:r w:rsidR="00516C53" w:rsidRPr="00516C53">
        <w:rPr>
          <w:highlight w:val="yellow"/>
        </w:rPr>
        <w:t>.</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516C53">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446623D3" w:rsidR="00CE4A1D" w:rsidRDefault="00CE4A1D" w:rsidP="00560355">
      <w:pPr>
        <w:pStyle w:val="Heading2"/>
        <w:spacing w:line="276" w:lineRule="auto"/>
      </w:pPr>
      <w:r>
        <w:t>4.</w:t>
      </w:r>
      <w:r w:rsidR="00767825">
        <w:t>2</w:t>
      </w:r>
      <w:r w:rsidR="00D12C7C">
        <w:t xml:space="preserve"> </w:t>
      </w:r>
      <w:r>
        <w:t>Northeast Pacific Sablefish</w:t>
      </w:r>
    </w:p>
    <w:p w14:paraId="7A5BCE0A" w14:textId="26F89B9E" w:rsidR="00555EB1" w:rsidRPr="00555EB1" w:rsidRDefault="00A90E3A" w:rsidP="00560355">
      <w:pPr>
        <w:spacing w:after="0" w:line="276" w:lineRule="auto"/>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w:t>
      </w:r>
      <w:r w:rsidR="00233376">
        <w:lastRenderedPageBreak/>
        <w:t xml:space="preserve">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393F6F55" w:rsidR="007D1370" w:rsidRDefault="00D24852" w:rsidP="00516C53">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1D7DC0">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560147DA" w:rsidR="00992E9D" w:rsidRPr="0028653C" w:rsidRDefault="00212215" w:rsidP="00516C53">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767825" w:rsidRPr="00516C53">
        <w:rPr>
          <w:highlight w:val="yellow"/>
        </w:rPr>
        <w:t>refs</w:t>
      </w:r>
      <w:r w:rsidR="00767825">
        <w:t>)</w:t>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 xml:space="preserve">In our analysis (which included data for all </w:t>
      </w:r>
      <w:r w:rsidR="00CD03F1">
        <w:lastRenderedPageBreak/>
        <w:t>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47E884D" w:rsidR="00614748" w:rsidRDefault="0000580A" w:rsidP="00516C53">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72075C">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see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r>
      <w:r w:rsidR="0072075C">
        <w:rPr>
          <w:noProof/>
        </w:rPr>
        <w:instrText xml:space="preserve"> REF _Ref5281391 \h </w:instrText>
      </w:r>
      <w:r w:rsidR="0072075C">
        <w:rPr>
          <w:noProof/>
        </w:rPr>
      </w:r>
      <w:r w:rsidR="0072075C">
        <w:rPr>
          <w:noProof/>
        </w:rPr>
        <w:fldChar w:fldCharType="separate"/>
      </w:r>
      <w:r w:rsidR="0072075C">
        <w:t xml:space="preserve">Figure </w:t>
      </w:r>
      <w:r w:rsidR="0072075C">
        <w:rPr>
          <w:noProof/>
        </w:rPr>
        <w:t>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516C53">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6A7617E" w:rsidR="0000580A" w:rsidRPr="000E79C7" w:rsidRDefault="00692DB0" w:rsidP="00516C53">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w:t>
      </w:r>
      <w:commentRangeStart w:id="12"/>
      <w:r>
        <w:t>ging data</w:t>
      </w:r>
      <w:commentRangeEnd w:id="12"/>
      <w:r w:rsidR="00767825">
        <w:rPr>
          <w:rStyle w:val="CommentReference"/>
        </w:rPr>
        <w:commentReference w:id="12"/>
      </w:r>
      <w:r>
        <w:t xml:space="preserve">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1D7DC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t>
      </w:r>
      <w:r w:rsidR="00767825">
        <w:lastRenderedPageBreak/>
        <w:t>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16C53">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516C53">
      <w:pPr>
        <w:spacing w:before="240" w:after="0" w:line="276" w:lineRule="auto"/>
        <w:rPr>
          <w:i/>
        </w:rPr>
      </w:pPr>
      <w:r w:rsidRPr="00516C53">
        <w:rPr>
          <w:i/>
        </w:rPr>
        <w:t>4.3 Conclusions</w:t>
      </w:r>
    </w:p>
    <w:p w14:paraId="7C628CB6" w14:textId="1F73F501" w:rsidR="00EE7F97" w:rsidRDefault="004B74A5" w:rsidP="00516C53">
      <w:pPr>
        <w:spacing w:after="0" w:line="276" w:lineRule="auto"/>
        <w:ind w:firstLine="360"/>
        <w:jc w:val="both"/>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3" w:name="_Hlk2063740"/>
      <w:r>
        <w:rPr>
          <w:noProof/>
          <w:lang w:val="en-AU" w:eastAsia="en-AU"/>
        </w:rPr>
        <w:drawing>
          <wp:inline distT="0" distB="0" distL="0" distR="0" wp14:anchorId="54C7F376" wp14:editId="52B30307">
            <wp:extent cx="6400798"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4"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4"/>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5" w:name="_Hlk3275656"/>
      <w:r>
        <w:rPr>
          <w:noProof/>
          <w:lang w:val="en-AU" w:eastAsia="en-AU"/>
        </w:rPr>
        <w:lastRenderedPageBreak/>
        <w:drawing>
          <wp:inline distT="0" distB="0" distL="0" distR="0" wp14:anchorId="2A57BA8C" wp14:editId="40A320D0">
            <wp:extent cx="6400798"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6"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6"/>
      <w:r>
        <w:t xml:space="preserve">. </w:t>
      </w:r>
      <w:r w:rsidR="00081EE8">
        <w:t>(</w:t>
      </w:r>
      <w:proofErr w:type="spellStart"/>
      <w:proofErr w:type="gramStart"/>
      <w:r w:rsidR="00081EE8">
        <w:t>a,c</w:t>
      </w:r>
      <w:proofErr w:type="gramEnd"/>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w:t>
      </w:r>
      <w:commentRangeStart w:id="17"/>
      <w:r>
        <w:t>zero</w:t>
      </w:r>
      <w:commentRangeEnd w:id="17"/>
      <w:r w:rsidR="00E875A2">
        <w:rPr>
          <w:rStyle w:val="CommentReference"/>
          <w:iCs w:val="0"/>
        </w:rPr>
        <w:commentReference w:id="17"/>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8" w:name="_Hlk2063726"/>
      <w:r>
        <w:rPr>
          <w:noProof/>
          <w:lang w:val="en-AU" w:eastAsia="en-AU"/>
        </w:rPr>
        <w:lastRenderedPageBreak/>
        <w:drawing>
          <wp:inline distT="0" distB="0" distL="0" distR="0" wp14:anchorId="00CD1C4C" wp14:editId="4D732A06">
            <wp:extent cx="6400797"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7" cy="4655125"/>
                    </a:xfrm>
                    <a:prstGeom prst="rect">
                      <a:avLst/>
                    </a:prstGeom>
                  </pic:spPr>
                </pic:pic>
              </a:graphicData>
            </a:graphic>
          </wp:inline>
        </w:drawing>
      </w:r>
    </w:p>
    <w:p w14:paraId="48067E4F" w14:textId="40F1DE3E" w:rsidR="0074747B" w:rsidRDefault="00857EC0" w:rsidP="00516C53">
      <w:pPr>
        <w:spacing w:after="0" w:line="240" w:lineRule="auto"/>
        <w:jc w:val="both"/>
      </w:pPr>
      <w:bookmarkStart w:id="19"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9"/>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0" w:name="_Ref5206683"/>
      <w:bookmarkStart w:id="21" w:name="_Ref5206675"/>
      <w:bookmarkEnd w:id="18"/>
    </w:p>
    <w:p w14:paraId="5C694A50" w14:textId="02437719" w:rsidR="001161AF" w:rsidRDefault="001161AF" w:rsidP="001B618E">
      <w:pPr>
        <w:pStyle w:val="Caption"/>
        <w:spacing w:after="0" w:line="360" w:lineRule="auto"/>
      </w:pPr>
      <w:r>
        <w:rPr>
          <w:noProof/>
          <w:lang w:val="en-AU" w:eastAsia="en-AU"/>
        </w:rPr>
        <w:lastRenderedPageBreak/>
        <w:drawing>
          <wp:inline distT="0" distB="0" distL="0" distR="0" wp14:anchorId="6BCFBE3F" wp14:editId="43152D18">
            <wp:extent cx="7036903"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3" cy="5117748"/>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22"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0"/>
      <w:bookmarkEnd w:id="22"/>
      <w:r>
        <w:t xml:space="preserve">. </w:t>
      </w:r>
      <w:bookmarkStart w:id="23"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1"/>
      <w:bookmarkEnd w:id="23"/>
    </w:p>
    <w:p w14:paraId="47F38290" w14:textId="7F9023A9" w:rsidR="00857EC0" w:rsidRDefault="00857EC0" w:rsidP="001B618E">
      <w:pPr>
        <w:pStyle w:val="Caption"/>
        <w:spacing w:after="0" w:line="360" w:lineRule="auto"/>
      </w:pPr>
    </w:p>
    <w:bookmarkEnd w:id="13"/>
    <w:bookmarkEnd w:id="15"/>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2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4"/>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34E3E40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25"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5"/>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26"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26"/>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w:t>
      </w:r>
      <w:bookmarkStart w:id="27" w:name="_GoBack"/>
      <w:bookmarkEnd w:id="27"/>
      <w:r w:rsidR="00A77355">
        <w:t xml:space="preserve">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28"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8"/>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29"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30" w:name="_Ref8372254"/>
    </w:p>
    <w:p w14:paraId="0353A469" w14:textId="7777777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29"/>
      <w:bookmarkEnd w:id="30"/>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3AD6F935"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1"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122646" w:rsidR="000645CA" w:rsidRDefault="00B82748" w:rsidP="001B618E">
      <w:pPr>
        <w:pStyle w:val="Caption"/>
        <w:spacing w:before="240" w:after="0" w:line="360" w:lineRule="auto"/>
      </w:pPr>
      <w:bookmarkStart w:id="32" w:name="_Ref872431"/>
      <w:bookmarkStart w:id="33"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2"/>
      <w:r>
        <w:t xml:space="preserve">. Summary of </w:t>
      </w:r>
      <w:r w:rsidR="001B6135">
        <w:t>simulation scenarios</w:t>
      </w:r>
      <w:r>
        <w:t xml:space="preserve"> used to test the </w:t>
      </w:r>
      <w:r w:rsidR="007D5FD4">
        <w:t>proposed</w:t>
      </w:r>
      <w:r>
        <w:t xml:space="preserve"> method </w:t>
      </w:r>
      <w:bookmarkEnd w:id="33"/>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31"/>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4"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4"/>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BA519BB" w14:textId="44E90369" w:rsidR="001D7DC0" w:rsidRPr="001D7DC0" w:rsidRDefault="00BB02E4" w:rsidP="001D7DC0">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1D7DC0" w:rsidRPr="001D7DC0">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7D905A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Austin, M.P., 2002. Spatial prediction of species distribution: An interface between ecological theory and statistical modelling. Ecol. Modell. https://doi.org/10.1016/S0304-3800(02)00205-3</w:t>
      </w:r>
    </w:p>
    <w:p w14:paraId="2BB9E48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Baumann, H., Conover, D.O., 2011. Adaptation to climate change: Contrasting patterns of thermal-reaction-norm evolution in Pacific versus Atlantic silversides. Proc. R. Soc. B Biol. Sci. https://doi.org/10.1098/rspb.2010.2479</w:t>
      </w:r>
    </w:p>
    <w:p w14:paraId="157FFBB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9E9311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20D18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Conover, D.O., Present, T.M.C., Conover, D., Present, T.M.C., 1990. Countergradient Variation in Growth Rate : Compensation for Length of the Growing Season among Atlantic Silversides from Different Latitudes 83, 316–324.</w:t>
      </w:r>
    </w:p>
    <w:p w14:paraId="3B6CC64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Cope, J.M., Punt, A.E., 2007. Erratum: Admitting ageing error when fitting growth curves: an example using the von Bertalanffy growth function with random effects. Can. J. Fish. Aquat. Sci. https://doi.org/10.1139/f07-095</w:t>
      </w:r>
    </w:p>
    <w:p w14:paraId="56FEB25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Cummins, P.F., Freeland, H.J., 2007. Variability of the North Pacific Current and its bifurcation. Prog. Oceanogr. 75, 253–265. https://doi.org/10.1016/j.pocean.2007.08.006</w:t>
      </w:r>
    </w:p>
    <w:p w14:paraId="040C57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Denson, L.S., Sampson, D.B., Stephens, A., 2017. Data needs and spatial structure considerations in stock assessments with regional differences in recruitment and exploitation. Can. J. Fish. Aquat. Sci. 74, 1918–1929. https://doi.org/10.1139/cjfas-2016-0277</w:t>
      </w:r>
    </w:p>
    <w:p w14:paraId="687FBD7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Department of Fisheries and Oceans, 2016. A Revised Operating Model for Sablefish (Anoplopoma Fimbria) in British Columbia, Canada. Dep. Fish. Ocean. Canada, 3190 Hammond Bay Road Nanaimo, BC V9T 6N7. https://doi.org/http://www.dfo-mpo.gc.ca/csas-sccs/</w:t>
      </w:r>
    </w:p>
    <w:p w14:paraId="0794205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Echave, K.B., Hanselman, D.H., Adkison, M.D., Sigler, M.F., 2012. Interdecadal Change in Growth of Sablefish (</w:t>
      </w:r>
      <w:r w:rsidRPr="001D7DC0">
        <w:rPr>
          <w:i/>
          <w:iCs/>
          <w:noProof/>
        </w:rPr>
        <w:t>Anoplopoma fimbria</w:t>
      </w:r>
      <w:r w:rsidRPr="001D7DC0">
        <w:rPr>
          <w:noProof/>
        </w:rPr>
        <w:t>) in the Northeast Pacific Ocean. Fish. Bull. 110, 361–374.</w:t>
      </w:r>
    </w:p>
    <w:p w14:paraId="58A8DC6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Gertseva, V., Matson, S.E., Cope, J., 2017. Spatial growth variability in marine fish: Example from Northeast Pacific groundfish. ICES J. Mar. Sci. 74, 1602–1613. https://doi.org/10.1093/icesjms/fsx016</w:t>
      </w:r>
    </w:p>
    <w:p w14:paraId="611D3E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39EDED1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Guthery, F.S., Burnham, K.P., Anderson, D.R., 2003. Model Selection and Multimodel </w:t>
      </w:r>
      <w:r w:rsidRPr="001D7DC0">
        <w:rPr>
          <w:noProof/>
        </w:rPr>
        <w:lastRenderedPageBreak/>
        <w:t>Inference: A Practical Information-Theoretic Approach. J. Wildl. Manage. https://doi.org/10.2307/3802723</w:t>
      </w:r>
    </w:p>
    <w:p w14:paraId="77AD88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Heifetz, J., Echave, K.B., Dressel, S.C., Jech, J.M., 2015. Move it or lose it: movement and mortality of sablefish tagged in Alaska. Can. J. Fish. Aquat. Sci. 72, 238–251. https://doi.org/10.1139/cjfas-2014-0251</w:t>
      </w:r>
    </w:p>
    <w:p w14:paraId="57684347" w14:textId="2B4582C5"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Lunsford, C.R., Rodgveller, C.J., 201</w:t>
      </w:r>
      <w:r w:rsidR="007438EA">
        <w:rPr>
          <w:noProof/>
        </w:rPr>
        <w:t>6</w:t>
      </w:r>
      <w:r w:rsidRPr="001D7DC0">
        <w:rPr>
          <w:noProof/>
        </w:rPr>
        <w:t>. Assessment of the sablefish stock in Alaska in 2017. Natl. Mar. Fish. Serv. Auke Bay Mar. Stn. 11305 Glacier Highw. Juneau, AK 99801 576–717.</w:t>
      </w:r>
      <w:r w:rsidR="007438EA">
        <w:rPr>
          <w:noProof/>
        </w:rPr>
        <w:t xml:space="preserve"> </w:t>
      </w:r>
      <w:r w:rsidR="007438EA" w:rsidRPr="007438EA">
        <w:rPr>
          <w:noProof/>
        </w:rPr>
        <w:t>https://www.afsc.noaa.gov/REFM/Docs/2016/GOAsablefish.pdf</w:t>
      </w:r>
      <w:r w:rsidR="007438EA">
        <w:rPr>
          <w:noProof/>
        </w:rPr>
        <w:t xml:space="preserve"> </w:t>
      </w:r>
    </w:p>
    <w:p w14:paraId="55E9C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Hilborn, R., Minte-Vera, C. V., 2008. Fisheries-induced changes in growth rates in marine fisheries: Are they significant?, in: Bulletin of Marine Science.</w:t>
      </w:r>
    </w:p>
    <w:p w14:paraId="05C025D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Houde, E.D., 1989. Comparative growth, mortality, and energetics of marine fish larvae: temperature and implied latitudinal effects. Fish. Bull. 87, 471–495.</w:t>
      </w:r>
    </w:p>
    <w:p w14:paraId="377851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Hurst, T.P., Abookire, A.A., 2006. Temporal and spatial variation in potential and realized growth rates of age-0 year northern rock sole. J. Fish Biol. 68, 905–919. https://doi.org/10.1111/j.0022-1112.2006.00985.x</w:t>
      </w:r>
    </w:p>
    <w:p w14:paraId="1DEC642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Jasonowicz, A.J., Goetz, F.W., Goetz, G.W., Nichols, K.M., 2017. Love the one you’re with: genomic evidence of panmixia in the sablefish (Anoplopoma fimbria). Can. J. Fish. Aquat. Sci. 74, 377–387. https://doi.org/10.1139/cjfas-2016-0012</w:t>
      </w:r>
    </w:p>
    <w:p w14:paraId="10CB8264" w14:textId="77F3B24C"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Johnson, K.F., Rudd, M.B., Pons, M., Akselrud, C.A., Lee, Q., Haltuch, M.A., Hamel, O.S., 2015. Status of the U.S. sablefish resource in 2015.</w:t>
      </w:r>
      <w:r w:rsidR="006762CD">
        <w:rPr>
          <w:noProof/>
        </w:rPr>
        <w:t xml:space="preserve"> </w:t>
      </w:r>
      <w:r w:rsidR="006762CD" w:rsidRPr="006762CD">
        <w:rPr>
          <w:noProof/>
        </w:rPr>
        <w:t>National Marine Fisheries Service Northwest Fisheries Science Center 2725 Montlake Blvd. E. Seattle WA, 98122</w:t>
      </w:r>
      <w:r w:rsidR="006762CD">
        <w:rPr>
          <w:noProof/>
        </w:rPr>
        <w:t xml:space="preserve">. </w:t>
      </w:r>
      <w:r w:rsidR="006762CD" w:rsidRPr="006762CD">
        <w:rPr>
          <w:noProof/>
        </w:rPr>
        <w:t>http://www.pcouncil.org/wp-content/uploads/2016/04/Sablefish_2015_Final.pdf</w:t>
      </w:r>
    </w:p>
    <w:p w14:paraId="6A55F5B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7EC060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Kim, H.J., Miller, A.J., McGowan, J., Carter, M.L., 2009. Coastal phytoplankton blooms in the Southern California Bight. Prog. Oceanogr. 82, 137–147. https://doi.org/10.1016/j.pocean.2009.05.002</w:t>
      </w:r>
    </w:p>
    <w:p w14:paraId="3553FA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King, J.R., McFarlane, G.A., Beamish, R.J., 2001. Incorporating the dynamics of marine systems into the stock assessment and management of sablefish. Prog. Oceanogr. 49, 619–639. https://doi.org/10.1016/S0079-6611(01)00044-1</w:t>
      </w:r>
    </w:p>
    <w:p w14:paraId="71B38CD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Kristensen, K., Nielsen, A., Berg, C., Skaug, H., Bell, B., 2016. TMB: Automatic Differentiation and Laplace Approximation. ournal Stat. Softw. 70, 1–21. https://doi.org/10.18637/jss.v070.i05</w:t>
      </w:r>
    </w:p>
    <w:p w14:paraId="102FD58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Levins, R., 1968. Evolution in Changing Environments., Population Studies. Princeton University Press. https://doi.org/10.2307/2173276</w:t>
      </w:r>
    </w:p>
    <w:p w14:paraId="16203EF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Mackas, D.L., Thomson, R.E., Galbraith, M., 2011. Changes in the zooplankton community of the British Columbia continental margin, 1985-1999, and their covariation with oceanographic conditions. Can. J. Fish. Aquat. Sci. 58, 685–702. https://doi.org/10.1139/f01-009</w:t>
      </w:r>
    </w:p>
    <w:p w14:paraId="6E1D55A9" w14:textId="1F9FEF9E"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Mason, J.C., Beamish, R.J., McFarlane, G.A., 1983. Sexual Maturity, Fecundity, Spawning, and Early Life History of Sablefish (Anoplopoma fimbria) off the Pacific Coast of Canada. Can. J. Fish. Aquat. Sci. https://doi.org/10.1139/f83-247</w:t>
      </w:r>
    </w:p>
    <w:p w14:paraId="766C27DB" w14:textId="09CBF89F"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McDevitt, M., 1990. Growth Analysis of Sablefish From Mark-Recapture Data From the Northeast Pacific.</w:t>
      </w:r>
      <w:r w:rsidR="00EC3E93">
        <w:rPr>
          <w:noProof/>
        </w:rPr>
        <w:t xml:space="preserve"> Thesis,</w:t>
      </w:r>
      <w:r w:rsidRPr="001D7DC0">
        <w:rPr>
          <w:noProof/>
        </w:rPr>
        <w:t xml:space="preserve"> University of Washington.</w:t>
      </w:r>
    </w:p>
    <w:p w14:paraId="2E41F95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McGarvey, R., Fowler, A.J., 2002. Seasonal growth of King George whiting (Sillaginodes punctata) estimated from length-at-age samples of the legal-size harvest. Fish. Bull. 100, 545–558.</w:t>
      </w:r>
    </w:p>
    <w:p w14:paraId="34065C8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7318D1E0" w14:textId="38D6936B"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Pacific Fisheries Management Council (PFMC), 2013. Pacific Coast Fishery Ecosystem Plan for the U.S. Portion of the California Current Large Marine Ecosystem. Pacific Fish. Manag. Counc. 7700 NE Ambassad. Place, Suite 101, Portland, Oregon,</w:t>
      </w:r>
      <w:r w:rsidR="00CD1DC6">
        <w:rPr>
          <w:noProof/>
        </w:rPr>
        <w:t xml:space="preserve"> </w:t>
      </w:r>
      <w:r w:rsidRPr="001D7DC0">
        <w:rPr>
          <w:noProof/>
        </w:rPr>
        <w:t>97220.</w:t>
      </w:r>
      <w:r w:rsidR="005377B8">
        <w:rPr>
          <w:noProof/>
        </w:rPr>
        <w:t xml:space="preserve"> </w:t>
      </w:r>
      <w:r w:rsidR="005377B8" w:rsidRPr="005377B8">
        <w:rPr>
          <w:noProof/>
        </w:rPr>
        <w:t>https://www.nwfsc.noaa.gov/research/divisions/fram/groundfish/bottom_trawl.cfm</w:t>
      </w:r>
    </w:p>
    <w:p w14:paraId="1A3883F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Perretti, C.T., Thorson, J.T., 2019. Spatio-temporal dynamics of summer flounder (Paralichthys dentatus) on the Northeast US shelf. Fish. Res. 215, 62–68. https://doi.org/10.1016/j.fishres.2019.03.006</w:t>
      </w:r>
    </w:p>
    <w:p w14:paraId="052BBC3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Pörtner, H.O., Knust, R., 2007. Climate change affects marine fishes through the oxygen limitation of thermal tolerance. Science (80-. ). https://doi.org/10.1126/science.1135471</w:t>
      </w:r>
    </w:p>
    <w:p w14:paraId="79DFDB1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2019. Spatial stock assessment methods: A viewpoint on current issues and assumptions. Fish. Res. https://doi.org/10.1016/j.fishres.2019.01.014</w:t>
      </w:r>
    </w:p>
    <w:p w14:paraId="1BE44CF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2003. The performance of a size-structured stock assessment method in the face of spatial heterogeneity in growth. Fish. Res. 65, 391–409. https://doi.org/10.1016/j.fishres.2003.09.028</w:t>
      </w:r>
    </w:p>
    <w:p w14:paraId="206A146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 Development Core Team, R., 2011. R: A Language and Environment for Statistical Computing, R Foundation for Statistical Computing. https://doi.org/10.1007/978-3-540-74686-7</w:t>
      </w:r>
    </w:p>
    <w:p w14:paraId="209C5C8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Ricker, W., 1969. Effects of size-selective mortality and sampling bias on estimates of growth, mortality, production and yield. J. Fish. Res. Board Canada. https://doi.org/10.1139/f69-051</w:t>
      </w:r>
    </w:p>
    <w:p w14:paraId="29965C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 Overland, J.E., 2005. Application of a sequential regime shift detection method to the Bering Sea ecosystem. ICES J. Mar. Sci. 62, 328–332. https://doi.org/10.1016/j.icesjms.2005.01.013</w:t>
      </w:r>
    </w:p>
    <w:p w14:paraId="086BEE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S.N., 2004. A sequential algorithm for testing climate regime shifts. Geophys. Res. Lett. 31, 2–5. https://doi.org/10.1029/2004GL019448</w:t>
      </w:r>
    </w:p>
    <w:p w14:paraId="2FA4653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Rutecki, L., Rodgveller, C.J., Lunsford, C.R., 2016. National Marine Fisheries Service Longline Survey Data Report and Survey History , 1990-2014. 17109 Lena Point Loop Road Juneau, AK 99801. https://doi.org/10.7289/V5/TM-AFSC-324</w:t>
      </w:r>
    </w:p>
    <w:p w14:paraId="50CCAD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Schnute, J., 1981. A Versatile Growth Model with Statistically Stable Parameters. Can. J. Fish. Aquat. Sci. 38, 1128–1140. https://doi.org/10.1139/f81-153</w:t>
      </w:r>
    </w:p>
    <w:p w14:paraId="5737469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Shotwell, S.K., Hanselman, D.H., Belkin, I.M., 2014. Toward biophysical synergy: Investigating advection along the Polar Front to identify factors influencing Alaska sablefish recruitment. Deep. Res. Part II 107, 40–53. https://doi.org/10.1016/j.dsr2.2012.08.024</w:t>
      </w:r>
    </w:p>
    <w:p w14:paraId="7E9CBF8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Siddon, E., Zador, S., 2018. Ecosystem Status Report 2018: Eastern Bering Sea. North Pacific Fish. Manag. Counc. 605 W. 4th Ave. Suite 306 Anchorage, AK 99301.</w:t>
      </w:r>
    </w:p>
    <w:p w14:paraId="5E6BF38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Simpson, G.L., 2018. Modelling palaeoecological time series using generalized additive models. bioRxiv. https://doi.org/10.1101/322248</w:t>
      </w:r>
    </w:p>
    <w:p w14:paraId="6E6B8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Somers, K.A., Pfeiffer, L., Miller, S., Morrison, W., 2018. Using Incentives to Reduce Bycatch and Discarding: Results Under the West Coast Catch Share Program. Coast. Manag. 46, 621–637. https://doi.org/10.1080/08920753.2018.1522492</w:t>
      </w:r>
    </w:p>
    <w:p w14:paraId="2F62EC4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lastRenderedPageBreak/>
        <w:t>Stawitz, C.C., Essington, T.E., Branch, T.A., Haltuch, M.A., Hollowed, A.B., Spencer, P.D., 2015. A state-space approach for detecting growth variation and application to North Pacific groundfish. Can. J. Fish. Aquat. Sci. 72, 1316–1328. https://doi.org/10.1139/cjfas-2014-0558</w:t>
      </w:r>
    </w:p>
    <w:p w14:paraId="010F46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21CB6C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Taylor, B.M., Brandl, S.J., Kapur, M., Robbins, W.D., Johnson, G., Huveneers, C., Renaud, P., Choat, J.H., 2018. Bottom-up processes mediated by social systems drive demographic traits of coral-reef fishes. Ecology 99, 642–651. https://doi.org/10.1002/ecy.2127</w:t>
      </w:r>
    </w:p>
    <w:p w14:paraId="629C33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2019a. Guidance for decisions using the Vector Autoregressive Spatio-Temporal (VAST) package in stock, ecosystem, habitat and climate assessments. Fish. Res. https://doi.org/10.1016/j.fishres.2018.10.013</w:t>
      </w:r>
    </w:p>
    <w:p w14:paraId="1D7D1AE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2019b. Guidance for decisions using the Vector Autoregressive Spatio-Temporal (VAST) package in stock, ecosystem, habitat and climate assessments. Fish. Res. 210, 143–161. https://doi.org/10.1016/j.fishres.2018.10.013</w:t>
      </w:r>
    </w:p>
    <w:p w14:paraId="637E671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Shelton, A.O., Ward, E.J., Skaug, H.J., 2015. Geostatistical delta-generalized linear mixed models improve precision for estimated abundance indices for West Coast groundfishes. ICES J. Mar. Sci. 72, 1297–1310. https://doi.org/10.1093/icesjms/fsu243</w:t>
      </w:r>
    </w:p>
    <w:p w14:paraId="034690C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Trip, E.L., Choat, J.H., Wilson, D.T., Robertson, D.R., 2008. Inter-oceanic analysis of demographic variation in a widely distributed Indo-Pacific coral reef fish. Mar. Ecol. Prog. Ser. 373, 97–109. https://doi.org/10.3354/meps07755</w:t>
      </w:r>
    </w:p>
    <w:p w14:paraId="452D534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von Bertalanffy, L., 1957. Quantitative Laws in Metabolism and Growth. Q. Rev. Biol. https://doi.org/10.1086/401873</w:t>
      </w:r>
    </w:p>
    <w:p w14:paraId="76E07F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Wickham, H., Francois, R., Henry, L., Muller, K., 2019. dplyr: A Grammar of Data Manipulation.</w:t>
      </w:r>
    </w:p>
    <w:p w14:paraId="1D8CC36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Williams, A.J., Farley, J.H., Hoyle, S.D., Davies, C.R., Nicol, S.J., 2012. Spatial and sex-specific variation in growth of albacore tuna (Thunnus alalunga) across the South Pacific Ocean. PLoS One 7. https://doi.org/10.1371/journal.pone.0039318</w:t>
      </w:r>
    </w:p>
    <w:p w14:paraId="3C318C7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2011. Fast stable restricted maximum likelihood and marginal likelihood estimation of semiparametric generalized linear models. J. R. Stat. Soc. Ser. B Stat. Methodol. https://doi.org/10.1111/j.1467-9868.2010.00749.x</w:t>
      </w:r>
    </w:p>
    <w:p w14:paraId="53E61AE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2003. Thin plate regression splines. J. R. Stat. Soc. Ser. B Stat. Methodol. https://doi.org/10.1111/1467-9868.00374</w:t>
      </w:r>
    </w:p>
    <w:p w14:paraId="3DA2E4D0" w14:textId="22247B43"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r w:rsidR="00A8116E">
        <w:rPr>
          <w:noProof/>
        </w:rPr>
        <w:t xml:space="preserve"> </w:t>
      </w:r>
      <w:r w:rsidR="00A8116E" w:rsidRPr="00A8116E">
        <w:rPr>
          <w:noProof/>
        </w:rPr>
        <w:t>http://publications.gc.ca/collections/collection_2012/mpo-dfo/Fs97-6-2694-eng.pdf</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234A2BF3" w:rsidR="00200CE2" w:rsidRPr="00200CE2" w:rsidRDefault="00200CE2" w:rsidP="00200CE2">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We’d like to thank John Best (SAFS) for suggesting the GAM derivative method as a possible technique, and for the entire Pacific Sablefish Transboundary Assessment Team for their support and feedback on this work.</w:t>
      </w:r>
    </w:p>
    <w:sectPr w:rsidR="00200CE2" w:rsidRPr="00200CE2"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Punt, Andre (O&amp;A, Hobart)" w:date="2019-06-12T10:40:00Z" w:initials="PA(H">
    <w:p w14:paraId="4ADB3D22" w14:textId="77777777" w:rsidR="00200CE2" w:rsidRDefault="00200CE2" w:rsidP="00516C53">
      <w:pPr>
        <w:pStyle w:val="CommentText"/>
      </w:pPr>
      <w:r>
        <w:rPr>
          <w:rStyle w:val="CommentReference"/>
        </w:rPr>
        <w:annotationRef/>
      </w:r>
      <w:r>
        <w:t>Move to discussion.</w:t>
      </w:r>
    </w:p>
  </w:comment>
  <w:comment w:id="12" w:author="Punt, Andre (O&amp;A, Hobart)" w:date="2019-06-12T11:52:00Z" w:initials="PA(H">
    <w:p w14:paraId="75A48891" w14:textId="768B3702" w:rsidR="00200CE2" w:rsidRDefault="00200CE2">
      <w:pPr>
        <w:pStyle w:val="CommentText"/>
      </w:pPr>
      <w:r>
        <w:rPr>
          <w:rStyle w:val="CommentReference"/>
        </w:rPr>
        <w:annotationRef/>
      </w:r>
      <w:r>
        <w:t>Seen where</w:t>
      </w:r>
    </w:p>
  </w:comment>
  <w:comment w:id="17" w:author="Punt, Andre (O&amp;A, Hobart)" w:date="2019-06-12T10:59:00Z" w:initials="PA(H">
    <w:p w14:paraId="0840E73B" w14:textId="20B6052E" w:rsidR="00200CE2" w:rsidRDefault="00200CE2">
      <w:pPr>
        <w:pStyle w:val="CommentText"/>
      </w:pPr>
      <w:r>
        <w:rPr>
          <w:rStyle w:val="CommentReference"/>
        </w:rPr>
        <w:annotationRef/>
      </w:r>
      <w:r>
        <w:t>This still looks pretty extreme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DB3D22" w15:done="0"/>
  <w15:commentEx w15:paraId="75A48891" w15:done="0"/>
  <w15:commentEx w15:paraId="0840E7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A48891" w16cid:durableId="20B5BEFE"/>
  <w16cid:commentId w16cid:paraId="0840E73B" w16cid:durableId="20B5B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839E2" w14:textId="77777777" w:rsidR="002C3ADB" w:rsidRDefault="002C3ADB" w:rsidP="00F50131">
      <w:pPr>
        <w:spacing w:after="0" w:line="240" w:lineRule="auto"/>
      </w:pPr>
      <w:r>
        <w:separator/>
      </w:r>
    </w:p>
  </w:endnote>
  <w:endnote w:type="continuationSeparator" w:id="0">
    <w:p w14:paraId="2164875D" w14:textId="77777777" w:rsidR="002C3ADB" w:rsidRDefault="002C3ADB"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200CE2" w:rsidRDefault="00200CE2">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200CE2" w:rsidRDefault="00200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200CE2" w:rsidRDefault="00200CE2">
    <w:pPr>
      <w:pStyle w:val="Footer"/>
      <w:jc w:val="right"/>
    </w:pPr>
    <w:r>
      <w:fldChar w:fldCharType="begin"/>
    </w:r>
    <w:r>
      <w:instrText xml:space="preserve"> PAGE   \* MERGEFORMAT </w:instrText>
    </w:r>
    <w:r>
      <w:fldChar w:fldCharType="separate"/>
    </w:r>
    <w:r>
      <w:rPr>
        <w:noProof/>
      </w:rPr>
      <w:t>21</w:t>
    </w:r>
    <w:r>
      <w:rPr>
        <w:noProof/>
      </w:rPr>
      <w:fldChar w:fldCharType="end"/>
    </w:r>
  </w:p>
  <w:p w14:paraId="2D8C35D5" w14:textId="77777777" w:rsidR="00200CE2" w:rsidRDefault="00200C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200CE2" w:rsidRDefault="00200CE2">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2B193F6F" w14:textId="77777777" w:rsidR="00200CE2" w:rsidRDefault="00200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91299" w14:textId="77777777" w:rsidR="002C3ADB" w:rsidRDefault="002C3ADB" w:rsidP="00F50131">
      <w:pPr>
        <w:spacing w:after="0" w:line="240" w:lineRule="auto"/>
      </w:pPr>
      <w:r>
        <w:separator/>
      </w:r>
    </w:p>
  </w:footnote>
  <w:footnote w:type="continuationSeparator" w:id="0">
    <w:p w14:paraId="6E5150C4" w14:textId="77777777" w:rsidR="002C3ADB" w:rsidRDefault="002C3ADB"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190"/>
    <w:rsid w:val="002B78B9"/>
    <w:rsid w:val="002C0447"/>
    <w:rsid w:val="002C19CF"/>
    <w:rsid w:val="002C350B"/>
    <w:rsid w:val="002C3AD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2282"/>
    <w:rsid w:val="00352E7D"/>
    <w:rsid w:val="003532CB"/>
    <w:rsid w:val="00357218"/>
    <w:rsid w:val="0035799C"/>
    <w:rsid w:val="00362196"/>
    <w:rsid w:val="003625DB"/>
    <w:rsid w:val="003640BA"/>
    <w:rsid w:val="00367814"/>
    <w:rsid w:val="00367BDB"/>
    <w:rsid w:val="00370000"/>
    <w:rsid w:val="003737AC"/>
    <w:rsid w:val="00375D00"/>
    <w:rsid w:val="003767BF"/>
    <w:rsid w:val="00377CE3"/>
    <w:rsid w:val="003806D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7F2F"/>
    <w:rsid w:val="00531519"/>
    <w:rsid w:val="00533635"/>
    <w:rsid w:val="005359CF"/>
    <w:rsid w:val="005377B8"/>
    <w:rsid w:val="00540318"/>
    <w:rsid w:val="00541DEF"/>
    <w:rsid w:val="00542B76"/>
    <w:rsid w:val="005430FD"/>
    <w:rsid w:val="005443E0"/>
    <w:rsid w:val="005453B8"/>
    <w:rsid w:val="00546272"/>
    <w:rsid w:val="0054799E"/>
    <w:rsid w:val="005514B8"/>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2626"/>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0341"/>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954DB"/>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564E"/>
    <w:rsid w:val="00DA6257"/>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111"/>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styleId="UnresolvedMention">
    <w:name w:val="Unresolved Mention"/>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BE4C0-6DED-4B05-8D91-A910B89E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31</Pages>
  <Words>37665</Words>
  <Characters>214693</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19</cp:revision>
  <cp:lastPrinted>2019-05-20T17:47:00Z</cp:lastPrinted>
  <dcterms:created xsi:type="dcterms:W3CDTF">2019-06-20T22:03:00Z</dcterms:created>
  <dcterms:modified xsi:type="dcterms:W3CDTF">2019-06-27T15:20:00Z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