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Please do not put any imports in the output.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Change function notation from λ x, f x to fun x =&gt; f x or λ x =&gt; f x or fun x ↦ f x or λ x ↦ f x. (This actually worked in the LLM already)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Change the syntax after "have" to start with “:= by { … } ” (instead of comma) and in the following { … } block *REMOVE COMMAS* after the commands. </w:t>
      </w:r>
      <w:r w:rsidDel="00000000" w:rsidR="00000000" w:rsidRPr="00000000">
        <w:rPr>
          <w:i w:val="1"/>
          <w:rtl w:val="0"/>
        </w:rPr>
        <w:t xml:space="preserve">DO NOT</w:t>
      </w:r>
      <w:r w:rsidDel="00000000" w:rsidR="00000000" w:rsidRPr="00000000">
        <w:rPr>
          <w:rtl w:val="0"/>
        </w:rPr>
        <w:t xml:space="preserve"> use “begin … end” blocks as they are outdated ( { … } is the right way).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Local definitions should not be "Def" but "have".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Take care to introduce the variables (like x, x', x'') when used in the proof (it is not enough to have them introduced in the theorem statement). Please REALLY CHECK that such variables are properly introduced with their types!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For "suffices" first put a label and colon in front of the statement.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Postprocessing steps: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Remove the commas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Insert “open BigOperators”   (if there sum or product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Remove the floor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Fix imports by deleting the outdated LLM-suggested imports (tell the LLM not to put any imports)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