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فصل چهارم: نتایج و تحلیل تجربی</w:t>
      </w:r>
    </w:p>
    <w:p>
      <w:pPr>
        <w:pStyle w:val="Heading2"/>
      </w:pPr>
      <w:r>
        <w:t>4.1  معرفی چارچوب آزمایشی</w:t>
      </w:r>
    </w:p>
    <w:p>
      <w:pPr>
        <w:ind w:firstLine="425"/>
        <w:jc w:val="both"/>
      </w:pPr>
      <w:r>
        <w:t>هدف این فصل ارزیابی تجربی رویکرد پوشش ریسک مبتنی بر یادگیری تقویتی (SAC) در برابر استراتژی‌های کلاسیک است. تمام آزمایش‌ها روی سه دارایی نفتی — WTI Spot، Brent Spot و OPEC Basket — با داده‌های روزانه انجام شده است.</w:t>
      </w:r>
    </w:p>
    <w:p>
      <w:pPr>
        <w:ind w:firstLine="425"/>
        <w:jc w:val="both"/>
      </w:pPr>
      <w:r>
        <w:t>آزمایش‌ها در چارچوب rolling window با تقسیم‌بندی زمانی ۲ سال آموزش، ۶ ماه اعتبارسنجی، و ۶ ماه آزمون انجام می‌شود. در مجموع ۲۸ پنجره زمانی برای WTI و Brent و ۱۳ پنجره برای OPEC (به دلیل شروع سری از ۲۰۰۳) پوشش داده می‌شود.</w:t>
      </w:r>
    </w:p>
    <w:p>
      <w:pPr>
        <w:ind w:firstLine="425"/>
        <w:jc w:val="both"/>
      </w:pPr>
      <w:r>
        <w:t>استراتژی SAC با پنج معیار benchmark مقایسه می‌شود: (۱) Naive (نسبت پوشش ثابت ۱)، (۲) OLS Static (حداقل واریانس ایستا)، (۳) OLS Rolling (حداقل واریانس پویا)، (۴) CCC-GARCH (همبستگی شرطی ثابت)، و (۵) DCC-GARCH (همبستگی شرطی پویا). همچنین NoHedge (بدون پوشش) به عنوان مرجع پایه حفظ شده است.</w:t>
      </w:r>
    </w:p>
    <w:p>
      <w:pPr>
        <w:pStyle w:val="Heading3"/>
      </w:pPr>
      <w:r>
        <w:t>جدول ۴.۱ — مشخصات چارچوب آزمایشی</w:t>
      </w:r>
    </w:p>
    <w:tbl>
      <w:tblPr>
        <w:tblStyle w:val="TableGrid"/>
        <w:tblW w:type="auto" w:w="0"/>
        <w:jc w:val="center"/>
        <w:tblLook w:firstColumn="1" w:firstRow="1" w:lastColumn="0" w:lastRow="0" w:noHBand="0" w:noVBand="1" w:val="04A0"/>
      </w:tblPr>
      <w:tblGrid>
        <w:gridCol w:w="4535"/>
        <w:gridCol w:w="4535"/>
      </w:tblGrid>
      <w:tr>
        <w:tc>
          <w:tcPr>
            <w:tcW w:type="dxa" w:w="3402"/>
            <w:shd w:val="clear" w:color="auto" w:fill="1F497D"/>
            <w:vAlign w:val="center"/>
          </w:tcPr>
          <w:p>
            <w:pPr>
              <w:jc w:val="center"/>
            </w:pPr>
            <w:r>
              <w:rPr>
                <w:rFonts w:ascii="Times New Roman" w:hAnsi="Times New Roman"/>
                <w:b/>
                <w:color w:val="FFFFFF"/>
                <w:sz w:val="19"/>
              </w:rPr>
              <w:t>پارامتر</w:t>
            </w:r>
          </w:p>
        </w:tc>
        <w:tc>
          <w:tcPr>
            <w:tcW w:type="dxa" w:w="5669"/>
            <w:shd w:val="clear" w:color="auto" w:fill="1F497D"/>
            <w:vAlign w:val="center"/>
          </w:tcPr>
          <w:p>
            <w:pPr>
              <w:jc w:val="center"/>
            </w:pPr>
            <w:r>
              <w:rPr>
                <w:rFonts w:ascii="Times New Roman" w:hAnsi="Times New Roman"/>
                <w:b/>
                <w:color w:val="FFFFFF"/>
                <w:sz w:val="19"/>
              </w:rPr>
              <w:t>مقدار</w:t>
            </w:r>
          </w:p>
        </w:tc>
      </w:tr>
      <w:tr>
        <w:tc>
          <w:tcPr>
            <w:tcW w:type="dxa" w:w="3402"/>
            <w:shd w:val="clear" w:color="auto" w:fill="EBF0F7"/>
          </w:tcPr>
          <w:p>
            <w:pPr>
              <w:jc w:val="center"/>
            </w:pPr>
            <w:r>
              <w:rPr>
                <w:rFonts w:ascii="Times New Roman" w:hAnsi="Times New Roman"/>
                <w:sz w:val="19"/>
              </w:rPr>
              <w:t>دارایی‌ها</w:t>
            </w:r>
          </w:p>
        </w:tc>
        <w:tc>
          <w:tcPr>
            <w:tcW w:type="dxa" w:w="5669"/>
            <w:shd w:val="clear" w:color="auto" w:fill="EBF0F7"/>
          </w:tcPr>
          <w:p>
            <w:pPr>
              <w:jc w:val="center"/>
            </w:pPr>
            <w:r>
              <w:rPr>
                <w:rFonts w:ascii="Times New Roman" w:hAnsi="Times New Roman"/>
                <w:sz w:val="19"/>
              </w:rPr>
              <w:t>WTI Spot، Brent Spot، OPEC Basket</w:t>
            </w:r>
          </w:p>
        </w:tc>
      </w:tr>
      <w:tr>
        <w:tc>
          <w:tcPr>
            <w:tcW w:type="dxa" w:w="3402"/>
            <w:shd w:val="clear" w:color="auto" w:fill="FFFFFF"/>
          </w:tcPr>
          <w:p>
            <w:pPr>
              <w:jc w:val="center"/>
            </w:pPr>
            <w:r>
              <w:rPr>
                <w:rFonts w:ascii="Times New Roman" w:hAnsi="Times New Roman"/>
                <w:sz w:val="19"/>
              </w:rPr>
              <w:t>ابزار پوشش</w:t>
            </w:r>
          </w:p>
        </w:tc>
        <w:tc>
          <w:tcPr>
            <w:tcW w:type="dxa" w:w="5669"/>
            <w:shd w:val="clear" w:color="auto" w:fill="FFFFFF"/>
          </w:tcPr>
          <w:p>
            <w:pPr>
              <w:jc w:val="center"/>
            </w:pPr>
            <w:r>
              <w:rPr>
                <w:rFonts w:ascii="Times New Roman" w:hAnsi="Times New Roman"/>
                <w:sz w:val="19"/>
              </w:rPr>
              <w:t>قراردادهای آتی نفت خام (CL1، CL2)</w:t>
            </w:r>
          </w:p>
        </w:tc>
      </w:tr>
      <w:tr>
        <w:tc>
          <w:tcPr>
            <w:tcW w:type="dxa" w:w="3402"/>
            <w:shd w:val="clear" w:color="auto" w:fill="EBF0F7"/>
          </w:tcPr>
          <w:p>
            <w:pPr>
              <w:jc w:val="center"/>
            </w:pPr>
            <w:r>
              <w:rPr>
                <w:rFonts w:ascii="Times New Roman" w:hAnsi="Times New Roman"/>
                <w:sz w:val="19"/>
              </w:rPr>
              <w:t>افق زمانی آموزش</w:t>
            </w:r>
          </w:p>
        </w:tc>
        <w:tc>
          <w:tcPr>
            <w:tcW w:type="dxa" w:w="5669"/>
            <w:shd w:val="clear" w:color="auto" w:fill="EBF0F7"/>
          </w:tcPr>
          <w:p>
            <w:pPr>
              <w:jc w:val="center"/>
            </w:pPr>
            <w:r>
              <w:rPr>
                <w:rFonts w:ascii="Times New Roman" w:hAnsi="Times New Roman"/>
                <w:sz w:val="19"/>
              </w:rPr>
              <w:t>۲ سال (rolling)</w:t>
            </w:r>
          </w:p>
        </w:tc>
      </w:tr>
      <w:tr>
        <w:tc>
          <w:tcPr>
            <w:tcW w:type="dxa" w:w="3402"/>
            <w:shd w:val="clear" w:color="auto" w:fill="FFFFFF"/>
          </w:tcPr>
          <w:p>
            <w:pPr>
              <w:jc w:val="center"/>
            </w:pPr>
            <w:r>
              <w:rPr>
                <w:rFonts w:ascii="Times New Roman" w:hAnsi="Times New Roman"/>
                <w:sz w:val="19"/>
              </w:rPr>
              <w:t>افق اعتبارسنجی</w:t>
            </w:r>
          </w:p>
        </w:tc>
        <w:tc>
          <w:tcPr>
            <w:tcW w:type="dxa" w:w="5669"/>
            <w:shd w:val="clear" w:color="auto" w:fill="FFFFFF"/>
          </w:tcPr>
          <w:p>
            <w:pPr>
              <w:jc w:val="center"/>
            </w:pPr>
            <w:r>
              <w:rPr>
                <w:rFonts w:ascii="Times New Roman" w:hAnsi="Times New Roman"/>
                <w:sz w:val="19"/>
              </w:rPr>
              <w:t>۶ ماه</w:t>
            </w:r>
          </w:p>
        </w:tc>
      </w:tr>
      <w:tr>
        <w:tc>
          <w:tcPr>
            <w:tcW w:type="dxa" w:w="3402"/>
            <w:shd w:val="clear" w:color="auto" w:fill="EBF0F7"/>
          </w:tcPr>
          <w:p>
            <w:pPr>
              <w:jc w:val="center"/>
            </w:pPr>
            <w:r>
              <w:rPr>
                <w:rFonts w:ascii="Times New Roman" w:hAnsi="Times New Roman"/>
                <w:sz w:val="19"/>
              </w:rPr>
              <w:t>افق آزمون</w:t>
            </w:r>
          </w:p>
        </w:tc>
        <w:tc>
          <w:tcPr>
            <w:tcW w:type="dxa" w:w="5669"/>
            <w:shd w:val="clear" w:color="auto" w:fill="EBF0F7"/>
          </w:tcPr>
          <w:p>
            <w:pPr>
              <w:jc w:val="center"/>
            </w:pPr>
            <w:r>
              <w:rPr>
                <w:rFonts w:ascii="Times New Roman" w:hAnsi="Times New Roman"/>
                <w:sz w:val="19"/>
              </w:rPr>
              <w:t>۶ ماه</w:t>
            </w:r>
          </w:p>
        </w:tc>
      </w:tr>
      <w:tr>
        <w:tc>
          <w:tcPr>
            <w:tcW w:type="dxa" w:w="3402"/>
            <w:shd w:val="clear" w:color="auto" w:fill="FFFFFF"/>
          </w:tcPr>
          <w:p>
            <w:pPr>
              <w:jc w:val="center"/>
            </w:pPr>
            <w:r>
              <w:rPr>
                <w:rFonts w:ascii="Times New Roman" w:hAnsi="Times New Roman"/>
                <w:sz w:val="19"/>
              </w:rPr>
              <w:t>تعداد پنجره (WTI/Brent)</w:t>
            </w:r>
          </w:p>
        </w:tc>
        <w:tc>
          <w:tcPr>
            <w:tcW w:type="dxa" w:w="5669"/>
            <w:shd w:val="clear" w:color="auto" w:fill="FFFFFF"/>
          </w:tcPr>
          <w:p>
            <w:pPr>
              <w:jc w:val="center"/>
            </w:pPr>
            <w:r>
              <w:rPr>
                <w:rFonts w:ascii="Times New Roman" w:hAnsi="Times New Roman"/>
                <w:sz w:val="19"/>
              </w:rPr>
              <w:t>۲۸</w:t>
            </w:r>
          </w:p>
        </w:tc>
      </w:tr>
      <w:tr>
        <w:tc>
          <w:tcPr>
            <w:tcW w:type="dxa" w:w="3402"/>
            <w:shd w:val="clear" w:color="auto" w:fill="EBF0F7"/>
          </w:tcPr>
          <w:p>
            <w:pPr>
              <w:jc w:val="center"/>
            </w:pPr>
            <w:r>
              <w:rPr>
                <w:rFonts w:ascii="Times New Roman" w:hAnsi="Times New Roman"/>
                <w:sz w:val="19"/>
              </w:rPr>
              <w:t>تعداد پنجره (OPEC)</w:t>
            </w:r>
          </w:p>
        </w:tc>
        <w:tc>
          <w:tcPr>
            <w:tcW w:type="dxa" w:w="5669"/>
            <w:shd w:val="clear" w:color="auto" w:fill="EBF0F7"/>
          </w:tcPr>
          <w:p>
            <w:pPr>
              <w:jc w:val="center"/>
            </w:pPr>
            <w:r>
              <w:rPr>
                <w:rFonts w:ascii="Times New Roman" w:hAnsi="Times New Roman"/>
                <w:sz w:val="19"/>
              </w:rPr>
              <w:t>۱۳</w:t>
            </w:r>
          </w:p>
        </w:tc>
      </w:tr>
      <w:tr>
        <w:tc>
          <w:tcPr>
            <w:tcW w:type="dxa" w:w="3402"/>
            <w:shd w:val="clear" w:color="auto" w:fill="FFFFFF"/>
          </w:tcPr>
          <w:p>
            <w:pPr>
              <w:jc w:val="center"/>
            </w:pPr>
            <w:r>
              <w:rPr>
                <w:rFonts w:ascii="Times New Roman" w:hAnsi="Times New Roman"/>
                <w:sz w:val="19"/>
              </w:rPr>
              <w:t>الگوریتم RL</w:t>
            </w:r>
          </w:p>
        </w:tc>
        <w:tc>
          <w:tcPr>
            <w:tcW w:type="dxa" w:w="5669"/>
            <w:shd w:val="clear" w:color="auto" w:fill="FFFFFF"/>
          </w:tcPr>
          <w:p>
            <w:pPr>
              <w:jc w:val="center"/>
            </w:pPr>
            <w:r>
              <w:rPr>
                <w:rFonts w:ascii="Times New Roman" w:hAnsi="Times New Roman"/>
                <w:sz w:val="19"/>
              </w:rPr>
              <w:t>SAC (Soft Actor-Critic)</w:t>
            </w:r>
          </w:p>
        </w:tc>
      </w:tr>
      <w:tr>
        <w:tc>
          <w:tcPr>
            <w:tcW w:type="dxa" w:w="3402"/>
            <w:shd w:val="clear" w:color="auto" w:fill="EBF0F7"/>
          </w:tcPr>
          <w:p>
            <w:pPr>
              <w:jc w:val="center"/>
            </w:pPr>
            <w:r>
              <w:rPr>
                <w:rFonts w:ascii="Times New Roman" w:hAnsi="Times New Roman"/>
                <w:sz w:val="19"/>
              </w:rPr>
              <w:t>تابع پاداش</w:t>
            </w:r>
          </w:p>
        </w:tc>
        <w:tc>
          <w:tcPr>
            <w:tcW w:type="dxa" w:w="5669"/>
            <w:shd w:val="clear" w:color="auto" w:fill="EBF0F7"/>
          </w:tcPr>
          <w:p>
            <w:pPr>
              <w:jc w:val="center"/>
            </w:pPr>
            <w:r>
              <w:rPr>
                <w:rFonts w:ascii="Times New Roman" w:hAnsi="Times New Roman"/>
                <w:sz w:val="19"/>
              </w:rPr>
              <w:t>LPM (0.45) + Volatility (0.35) + Cost (0.20)</w:t>
            </w:r>
          </w:p>
        </w:tc>
      </w:tr>
      <w:tr>
        <w:tc>
          <w:tcPr>
            <w:tcW w:type="dxa" w:w="3402"/>
            <w:shd w:val="clear" w:color="auto" w:fill="FFFFFF"/>
          </w:tcPr>
          <w:p>
            <w:pPr>
              <w:jc w:val="center"/>
            </w:pPr>
            <w:r>
              <w:rPr>
                <w:rFonts w:ascii="Times New Roman" w:hAnsi="Times New Roman"/>
                <w:sz w:val="19"/>
              </w:rPr>
              <w:t>محدوده hedge ratio</w:t>
            </w:r>
          </w:p>
        </w:tc>
        <w:tc>
          <w:tcPr>
            <w:tcW w:type="dxa" w:w="5669"/>
            <w:shd w:val="clear" w:color="auto" w:fill="FFFFFF"/>
          </w:tcPr>
          <w:p>
            <w:pPr>
              <w:jc w:val="center"/>
            </w:pPr>
            <w:r>
              <w:rPr>
                <w:rFonts w:ascii="Times New Roman" w:hAnsi="Times New Roman"/>
                <w:sz w:val="19"/>
              </w:rPr>
              <w:t>[0.0 , 1.25]</w:t>
            </w:r>
          </w:p>
        </w:tc>
      </w:tr>
      <w:tr>
        <w:tc>
          <w:tcPr>
            <w:tcW w:type="dxa" w:w="3402"/>
            <w:shd w:val="clear" w:color="auto" w:fill="EBF0F7"/>
          </w:tcPr>
          <w:p>
            <w:pPr>
              <w:jc w:val="center"/>
            </w:pPr>
            <w:r>
              <w:rPr>
                <w:rFonts w:ascii="Times New Roman" w:hAnsi="Times New Roman"/>
                <w:sz w:val="19"/>
              </w:rPr>
              <w:t>گام تغییر hedge ratio</w:t>
            </w:r>
          </w:p>
        </w:tc>
        <w:tc>
          <w:tcPr>
            <w:tcW w:type="dxa" w:w="5669"/>
            <w:shd w:val="clear" w:color="auto" w:fill="EBF0F7"/>
          </w:tcPr>
          <w:p>
            <w:pPr>
              <w:jc w:val="center"/>
            </w:pPr>
            <w:r>
              <w:rPr>
                <w:rFonts w:ascii="Times New Roman" w:hAnsi="Times New Roman"/>
                <w:sz w:val="19"/>
              </w:rPr>
              <w:t>0.01</w:t>
            </w:r>
          </w:p>
        </w:tc>
      </w:tr>
      <w:tr>
        <w:tc>
          <w:tcPr>
            <w:tcW w:type="dxa" w:w="3402"/>
            <w:shd w:val="clear" w:color="auto" w:fill="FFFFFF"/>
          </w:tcPr>
          <w:p>
            <w:pPr>
              <w:jc w:val="center"/>
            </w:pPr>
            <w:r>
              <w:rPr>
                <w:rFonts w:ascii="Times New Roman" w:hAnsi="Times New Roman"/>
                <w:sz w:val="19"/>
              </w:rPr>
              <w:t>Benchmarks</w:t>
            </w:r>
          </w:p>
        </w:tc>
        <w:tc>
          <w:tcPr>
            <w:tcW w:type="dxa" w:w="5669"/>
            <w:shd w:val="clear" w:color="auto" w:fill="FFFFFF"/>
          </w:tcPr>
          <w:p>
            <w:pPr>
              <w:jc w:val="center"/>
            </w:pPr>
            <w:r>
              <w:rPr>
                <w:rFonts w:ascii="Times New Roman" w:hAnsi="Times New Roman"/>
                <w:sz w:val="19"/>
              </w:rPr>
              <w:t>Naive، OLS Static، OLS Rolling، CCC-GARCH، DCC-GARCH، NoHedge</w:t>
            </w:r>
          </w:p>
        </w:tc>
      </w:tr>
    </w:tbl>
    <w:p/>
    <w:p>
      <w:pPr>
        <w:spacing w:before="40" w:after="200"/>
        <w:jc w:val="center"/>
      </w:pPr>
      <w:r>
        <w:rPr>
          <w:rFonts w:ascii="Times New Roman" w:hAnsi="Times New Roman"/>
          <w:b/>
          <w:sz w:val="20"/>
        </w:rPr>
        <w:t xml:space="preserve">جدول 4.1 — </w:t>
      </w:r>
      <w:r>
        <w:rPr>
          <w:rFonts w:ascii="Times New Roman" w:hAnsi="Times New Roman"/>
          <w:i/>
          <w:sz w:val="20"/>
        </w:rPr>
        <w:t>مشخصات کلی چارچوب آزمایشی Rolling Window</w:t>
      </w:r>
    </w:p>
    <w:p>
      <w:pPr>
        <w:pStyle w:val="Heading3"/>
      </w:pPr>
      <w:r>
        <w:t>جدول ۴.۲ — معیارهای ارزیابی عملکرد</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F497D"/>
            <w:vAlign w:val="center"/>
          </w:tcPr>
          <w:p>
            <w:pPr>
              <w:jc w:val="center"/>
            </w:pPr>
            <w:r>
              <w:rPr>
                <w:rFonts w:ascii="Times New Roman" w:hAnsi="Times New Roman"/>
                <w:b/>
                <w:color w:val="FFFFFF"/>
                <w:sz w:val="19"/>
              </w:rPr>
              <w:t>معیار</w:t>
            </w:r>
          </w:p>
        </w:tc>
        <w:tc>
          <w:tcPr>
            <w:tcW w:type="dxa" w:w="4819"/>
            <w:shd w:val="clear" w:color="auto" w:fill="1F497D"/>
            <w:vAlign w:val="center"/>
          </w:tcPr>
          <w:p>
            <w:pPr>
              <w:jc w:val="center"/>
            </w:pPr>
            <w:r>
              <w:rPr>
                <w:rFonts w:ascii="Times New Roman" w:hAnsi="Times New Roman"/>
                <w:b/>
                <w:color w:val="FFFFFF"/>
                <w:sz w:val="19"/>
              </w:rPr>
              <w:t>تعریف</w:t>
            </w:r>
          </w:p>
        </w:tc>
        <w:tc>
          <w:tcPr>
            <w:tcW w:type="dxa" w:w="2268"/>
            <w:shd w:val="clear" w:color="auto" w:fill="1F497D"/>
            <w:vAlign w:val="center"/>
          </w:tcPr>
          <w:p>
            <w:pPr>
              <w:jc w:val="center"/>
            </w:pPr>
            <w:r>
              <w:rPr>
                <w:rFonts w:ascii="Times New Roman" w:hAnsi="Times New Roman"/>
                <w:b/>
                <w:color w:val="FFFFFF"/>
                <w:sz w:val="19"/>
              </w:rPr>
              <w:t>هدف</w:t>
            </w:r>
          </w:p>
        </w:tc>
      </w:tr>
      <w:tr>
        <w:tc>
          <w:tcPr>
            <w:tcW w:type="dxa" w:w="1984"/>
            <w:shd w:val="clear" w:color="auto" w:fill="EBF0F7"/>
          </w:tcPr>
          <w:p>
            <w:pPr>
              <w:jc w:val="center"/>
            </w:pPr>
            <w:r>
              <w:rPr>
                <w:rFonts w:ascii="Times New Roman" w:hAnsi="Times New Roman"/>
                <w:sz w:val="19"/>
              </w:rPr>
              <w:t>HE</w:t>
            </w:r>
          </w:p>
        </w:tc>
        <w:tc>
          <w:tcPr>
            <w:tcW w:type="dxa" w:w="4819"/>
            <w:shd w:val="clear" w:color="auto" w:fill="EBF0F7"/>
          </w:tcPr>
          <w:p>
            <w:pPr>
              <w:jc w:val="center"/>
            </w:pPr>
            <w:r>
              <w:rPr>
                <w:rFonts w:ascii="Times New Roman" w:hAnsi="Times New Roman"/>
                <w:sz w:val="19"/>
              </w:rPr>
              <w:t>Hedging Effectiveness = 1 − Var(hedged)/Var(unhedged)</w:t>
            </w:r>
          </w:p>
        </w:tc>
        <w:tc>
          <w:tcPr>
            <w:tcW w:type="dxa" w:w="2268"/>
            <w:shd w:val="clear" w:color="auto" w:fill="EBF0F7"/>
          </w:tcPr>
          <w:p>
            <w:pPr>
              <w:jc w:val="center"/>
            </w:pPr>
            <w:r>
              <w:rPr>
                <w:rFonts w:ascii="Times New Roman" w:hAnsi="Times New Roman"/>
                <w:sz w:val="19"/>
              </w:rPr>
              <w:t>حداکثر‌سازی</w:t>
            </w:r>
          </w:p>
        </w:tc>
      </w:tr>
      <w:tr>
        <w:tc>
          <w:tcPr>
            <w:tcW w:type="dxa" w:w="1984"/>
            <w:shd w:val="clear" w:color="auto" w:fill="FFFFFF"/>
          </w:tcPr>
          <w:p>
            <w:pPr>
              <w:jc w:val="center"/>
            </w:pPr>
            <w:r>
              <w:rPr>
                <w:rFonts w:ascii="Times New Roman" w:hAnsi="Times New Roman"/>
                <w:sz w:val="19"/>
              </w:rPr>
              <w:t>Mean Net P&amp;L</w:t>
            </w:r>
          </w:p>
        </w:tc>
        <w:tc>
          <w:tcPr>
            <w:tcW w:type="dxa" w:w="4819"/>
            <w:shd w:val="clear" w:color="auto" w:fill="FFFFFF"/>
          </w:tcPr>
          <w:p>
            <w:pPr>
              <w:jc w:val="center"/>
            </w:pPr>
            <w:r>
              <w:rPr>
                <w:rFonts w:ascii="Times New Roman" w:hAnsi="Times New Roman"/>
                <w:sz w:val="19"/>
              </w:rPr>
              <w:t>میانگین سود/زیان خالص پس از هزینه معاملاتی</w:t>
            </w:r>
          </w:p>
        </w:tc>
        <w:tc>
          <w:tcPr>
            <w:tcW w:type="dxa" w:w="2268"/>
            <w:shd w:val="clear" w:color="auto" w:fill="FFFFFF"/>
          </w:tcPr>
          <w:p>
            <w:pPr>
              <w:jc w:val="center"/>
            </w:pPr>
            <w:r>
              <w:rPr>
                <w:rFonts w:ascii="Times New Roman" w:hAnsi="Times New Roman"/>
                <w:sz w:val="19"/>
              </w:rPr>
              <w:t>حداکثر‌سازی</w:t>
            </w:r>
          </w:p>
        </w:tc>
      </w:tr>
      <w:tr>
        <w:tc>
          <w:tcPr>
            <w:tcW w:type="dxa" w:w="1984"/>
            <w:shd w:val="clear" w:color="auto" w:fill="EBF0F7"/>
          </w:tcPr>
          <w:p>
            <w:pPr>
              <w:jc w:val="center"/>
            </w:pPr>
            <w:r>
              <w:rPr>
                <w:rFonts w:ascii="Times New Roman" w:hAnsi="Times New Roman"/>
                <w:sz w:val="19"/>
              </w:rPr>
              <w:t>VaR95</w:t>
            </w:r>
          </w:p>
        </w:tc>
        <w:tc>
          <w:tcPr>
            <w:tcW w:type="dxa" w:w="4819"/>
            <w:shd w:val="clear" w:color="auto" w:fill="EBF0F7"/>
          </w:tcPr>
          <w:p>
            <w:pPr>
              <w:jc w:val="center"/>
            </w:pPr>
            <w:r>
              <w:rPr>
                <w:rFonts w:ascii="Times New Roman" w:hAnsi="Times New Roman"/>
                <w:sz w:val="19"/>
              </w:rPr>
              <w:t>ارزش در معرض خطر در سطح اطمینان ۹۵٪</w:t>
            </w:r>
          </w:p>
        </w:tc>
        <w:tc>
          <w:tcPr>
            <w:tcW w:type="dxa" w:w="2268"/>
            <w:shd w:val="clear" w:color="auto" w:fill="EBF0F7"/>
          </w:tcPr>
          <w:p>
            <w:pPr>
              <w:jc w:val="center"/>
            </w:pPr>
            <w:r>
              <w:rPr>
                <w:rFonts w:ascii="Times New Roman" w:hAnsi="Times New Roman"/>
                <w:sz w:val="19"/>
              </w:rPr>
              <w:t>کمینه‌سازی (قدرمطلق)</w:t>
            </w:r>
          </w:p>
        </w:tc>
      </w:tr>
      <w:tr>
        <w:tc>
          <w:tcPr>
            <w:tcW w:type="dxa" w:w="1984"/>
            <w:shd w:val="clear" w:color="auto" w:fill="FFFFFF"/>
          </w:tcPr>
          <w:p>
            <w:pPr>
              <w:jc w:val="center"/>
            </w:pPr>
            <w:r>
              <w:rPr>
                <w:rFonts w:ascii="Times New Roman" w:hAnsi="Times New Roman"/>
                <w:sz w:val="19"/>
              </w:rPr>
              <w:t>ES95</w:t>
            </w:r>
          </w:p>
        </w:tc>
        <w:tc>
          <w:tcPr>
            <w:tcW w:type="dxa" w:w="4819"/>
            <w:shd w:val="clear" w:color="auto" w:fill="FFFFFF"/>
          </w:tcPr>
          <w:p>
            <w:pPr>
              <w:jc w:val="center"/>
            </w:pPr>
            <w:r>
              <w:rPr>
                <w:rFonts w:ascii="Times New Roman" w:hAnsi="Times New Roman"/>
                <w:sz w:val="19"/>
              </w:rPr>
              <w:t>زیان مورد انتظار در بدترین ۵٪ موارد</w:t>
            </w:r>
          </w:p>
        </w:tc>
        <w:tc>
          <w:tcPr>
            <w:tcW w:type="dxa" w:w="2268"/>
            <w:shd w:val="clear" w:color="auto" w:fill="FFFFFF"/>
          </w:tcPr>
          <w:p>
            <w:pPr>
              <w:jc w:val="center"/>
            </w:pPr>
            <w:r>
              <w:rPr>
                <w:rFonts w:ascii="Times New Roman" w:hAnsi="Times New Roman"/>
                <w:sz w:val="19"/>
              </w:rPr>
              <w:t>کمینه‌سازی (قدرمطلق)</w:t>
            </w:r>
          </w:p>
        </w:tc>
      </w:tr>
      <w:tr>
        <w:tc>
          <w:tcPr>
            <w:tcW w:type="dxa" w:w="1984"/>
            <w:shd w:val="clear" w:color="auto" w:fill="EBF0F7"/>
          </w:tcPr>
          <w:p>
            <w:pPr>
              <w:jc w:val="center"/>
            </w:pPr>
            <w:r>
              <w:rPr>
                <w:rFonts w:ascii="Times New Roman" w:hAnsi="Times New Roman"/>
                <w:sz w:val="19"/>
              </w:rPr>
              <w:t>Prob Profit</w:t>
            </w:r>
          </w:p>
        </w:tc>
        <w:tc>
          <w:tcPr>
            <w:tcW w:type="dxa" w:w="4819"/>
            <w:shd w:val="clear" w:color="auto" w:fill="EBF0F7"/>
          </w:tcPr>
          <w:p>
            <w:pPr>
              <w:jc w:val="center"/>
            </w:pPr>
            <w:r>
              <w:rPr>
                <w:rFonts w:ascii="Times New Roman" w:hAnsi="Times New Roman"/>
                <w:sz w:val="19"/>
              </w:rPr>
              <w:t>احتمال سودآوری = P(net P&amp;L &gt; 0)</w:t>
            </w:r>
          </w:p>
        </w:tc>
        <w:tc>
          <w:tcPr>
            <w:tcW w:type="dxa" w:w="2268"/>
            <w:shd w:val="clear" w:color="auto" w:fill="EBF0F7"/>
          </w:tcPr>
          <w:p>
            <w:pPr>
              <w:jc w:val="center"/>
            </w:pPr>
            <w:r>
              <w:rPr>
                <w:rFonts w:ascii="Times New Roman" w:hAnsi="Times New Roman"/>
                <w:sz w:val="19"/>
              </w:rPr>
              <w:t>حداکثر‌سازی</w:t>
            </w:r>
          </w:p>
        </w:tc>
      </w:tr>
      <w:tr>
        <w:tc>
          <w:tcPr>
            <w:tcW w:type="dxa" w:w="1984"/>
            <w:shd w:val="clear" w:color="auto" w:fill="FFFFFF"/>
          </w:tcPr>
          <w:p>
            <w:pPr>
              <w:jc w:val="center"/>
            </w:pPr>
            <w:r>
              <w:rPr>
                <w:rFonts w:ascii="Times New Roman" w:hAnsi="Times New Roman"/>
                <w:sz w:val="19"/>
              </w:rPr>
              <w:t>Max Drawdown</w:t>
            </w:r>
          </w:p>
        </w:tc>
        <w:tc>
          <w:tcPr>
            <w:tcW w:type="dxa" w:w="4819"/>
            <w:shd w:val="clear" w:color="auto" w:fill="FFFFFF"/>
          </w:tcPr>
          <w:p>
            <w:pPr>
              <w:jc w:val="center"/>
            </w:pPr>
            <w:r>
              <w:rPr>
                <w:rFonts w:ascii="Times New Roman" w:hAnsi="Times New Roman"/>
                <w:sz w:val="19"/>
              </w:rPr>
              <w:t>حداکثر افت ارزش پرتفولیو از قله</w:t>
            </w:r>
          </w:p>
        </w:tc>
        <w:tc>
          <w:tcPr>
            <w:tcW w:type="dxa" w:w="2268"/>
            <w:shd w:val="clear" w:color="auto" w:fill="FFFFFF"/>
          </w:tcPr>
          <w:p>
            <w:pPr>
              <w:jc w:val="center"/>
            </w:pPr>
            <w:r>
              <w:rPr>
                <w:rFonts w:ascii="Times New Roman" w:hAnsi="Times New Roman"/>
                <w:sz w:val="19"/>
              </w:rPr>
              <w:t>کمینه‌سازی (قدرمطلق)</w:t>
            </w:r>
          </w:p>
        </w:tc>
      </w:tr>
      <w:tr>
        <w:tc>
          <w:tcPr>
            <w:tcW w:type="dxa" w:w="1984"/>
            <w:shd w:val="clear" w:color="auto" w:fill="EBF0F7"/>
          </w:tcPr>
          <w:p>
            <w:pPr>
              <w:jc w:val="center"/>
            </w:pPr>
            <w:r>
              <w:rPr>
                <w:rFonts w:ascii="Times New Roman" w:hAnsi="Times New Roman"/>
                <w:sz w:val="19"/>
              </w:rPr>
              <w:t>Downside Dev</w:t>
            </w:r>
          </w:p>
        </w:tc>
        <w:tc>
          <w:tcPr>
            <w:tcW w:type="dxa" w:w="4819"/>
            <w:shd w:val="clear" w:color="auto" w:fill="EBF0F7"/>
          </w:tcPr>
          <w:p>
            <w:pPr>
              <w:jc w:val="center"/>
            </w:pPr>
            <w:r>
              <w:rPr>
                <w:rFonts w:ascii="Times New Roman" w:hAnsi="Times New Roman"/>
                <w:sz w:val="19"/>
              </w:rPr>
              <w:t>انحراف معیار بازده‌های منفی (LPM)</w:t>
            </w:r>
          </w:p>
        </w:tc>
        <w:tc>
          <w:tcPr>
            <w:tcW w:type="dxa" w:w="2268"/>
            <w:shd w:val="clear" w:color="auto" w:fill="EBF0F7"/>
          </w:tcPr>
          <w:p>
            <w:pPr>
              <w:jc w:val="center"/>
            </w:pPr>
            <w:r>
              <w:rPr>
                <w:rFonts w:ascii="Times New Roman" w:hAnsi="Times New Roman"/>
                <w:sz w:val="19"/>
              </w:rPr>
              <w:t>کمینه‌سازی</w:t>
            </w:r>
          </w:p>
        </w:tc>
      </w:tr>
      <w:tr>
        <w:tc>
          <w:tcPr>
            <w:tcW w:type="dxa" w:w="1984"/>
            <w:shd w:val="clear" w:color="auto" w:fill="FFFFFF"/>
          </w:tcPr>
          <w:p>
            <w:pPr>
              <w:jc w:val="center"/>
            </w:pPr>
            <w:r>
              <w:rPr>
                <w:rFonts w:ascii="Times New Roman" w:hAnsi="Times New Roman"/>
                <w:sz w:val="19"/>
              </w:rPr>
              <w:t>Total Cost</w:t>
            </w:r>
          </w:p>
        </w:tc>
        <w:tc>
          <w:tcPr>
            <w:tcW w:type="dxa" w:w="4819"/>
            <w:shd w:val="clear" w:color="auto" w:fill="FFFFFF"/>
          </w:tcPr>
          <w:p>
            <w:pPr>
              <w:jc w:val="center"/>
            </w:pPr>
            <w:r>
              <w:rPr>
                <w:rFonts w:ascii="Times New Roman" w:hAnsi="Times New Roman"/>
                <w:sz w:val="19"/>
              </w:rPr>
              <w:t>مجموع هزینه معامله و rollover</w:t>
            </w:r>
          </w:p>
        </w:tc>
        <w:tc>
          <w:tcPr>
            <w:tcW w:type="dxa" w:w="2268"/>
            <w:shd w:val="clear" w:color="auto" w:fill="FFFFFF"/>
          </w:tcPr>
          <w:p>
            <w:pPr>
              <w:jc w:val="center"/>
            </w:pPr>
            <w:r>
              <w:rPr>
                <w:rFonts w:ascii="Times New Roman" w:hAnsi="Times New Roman"/>
                <w:sz w:val="19"/>
              </w:rPr>
              <w:t>کمینه‌سازی</w:t>
            </w:r>
          </w:p>
        </w:tc>
      </w:tr>
    </w:tbl>
    <w:p/>
    <w:p>
      <w:pPr>
        <w:spacing w:before="40" w:after="200"/>
        <w:jc w:val="center"/>
      </w:pPr>
      <w:r>
        <w:rPr>
          <w:rFonts w:ascii="Times New Roman" w:hAnsi="Times New Roman"/>
          <w:b/>
          <w:sz w:val="20"/>
        </w:rPr>
        <w:t xml:space="preserve">جدول 4.2 — </w:t>
      </w:r>
      <w:r>
        <w:rPr>
          <w:rFonts w:ascii="Times New Roman" w:hAnsi="Times New Roman"/>
          <w:i/>
          <w:sz w:val="20"/>
        </w:rPr>
        <w:t>معیارهای ارزیابی عملکرد استراتژی‌های پوشش ریسک</w:t>
      </w:r>
    </w:p>
    <w:p>
      <w:pPr>
        <w:pStyle w:val="Heading2"/>
      </w:pPr>
      <w:r>
        <w:t>4.2  داده‌ها و کیفیت‌سنجی (Data QC)</w:t>
      </w:r>
    </w:p>
    <w:p>
      <w:pPr>
        <w:pStyle w:val="Heading3"/>
      </w:pPr>
      <w:r>
        <w:t>4.2.1  مشخصات مجموعه داده اصلی</w:t>
      </w:r>
    </w:p>
    <w:p>
      <w:pPr>
        <w:ind w:firstLine="425"/>
        <w:jc w:val="both"/>
      </w:pPr>
      <w:r>
        <w:t>مجموعه داده اصلی (MasterData) شامل ۱۰٬۴۳۸ سطر و ۶۲ ستون است که بازه زمانی ۱۹۸۶ تا ۲۰۲۶ را پوشش می‌دهد. این مجموعه شامل قیمت‌های لحظه‌ای و قراردادهای آتی نفت خام برای سه دارایی اصلی پروژه است.</w:t>
      </w:r>
    </w:p>
    <w:tbl>
      <w:tblPr>
        <w:tblStyle w:val="TableGrid"/>
        <w:tblW w:type="auto" w:w="0"/>
        <w:jc w:val="center"/>
        <w:tblLook w:firstColumn="1" w:firstRow="1" w:lastColumn="0" w:lastRow="0" w:noHBand="0" w:noVBand="1" w:val="04A0"/>
      </w:tblPr>
      <w:tblGrid>
        <w:gridCol w:w="4535"/>
        <w:gridCol w:w="4535"/>
      </w:tblGrid>
      <w:tr>
        <w:tc>
          <w:tcPr>
            <w:tcW w:type="dxa" w:w="3969"/>
            <w:shd w:val="clear" w:color="auto" w:fill="1F497D"/>
            <w:vAlign w:val="center"/>
          </w:tcPr>
          <w:p>
            <w:pPr>
              <w:jc w:val="center"/>
            </w:pPr>
            <w:r>
              <w:rPr>
                <w:rFonts w:ascii="Times New Roman" w:hAnsi="Times New Roman"/>
                <w:b/>
                <w:color w:val="FFFFFF"/>
                <w:sz w:val="19"/>
              </w:rPr>
              <w:t>مشخصه</w:t>
            </w:r>
          </w:p>
        </w:tc>
        <w:tc>
          <w:tcPr>
            <w:tcW w:type="dxa" w:w="5102"/>
            <w:shd w:val="clear" w:color="auto" w:fill="1F497D"/>
            <w:vAlign w:val="center"/>
          </w:tcPr>
          <w:p>
            <w:pPr>
              <w:jc w:val="center"/>
            </w:pPr>
            <w:r>
              <w:rPr>
                <w:rFonts w:ascii="Times New Roman" w:hAnsi="Times New Roman"/>
                <w:b/>
                <w:color w:val="FFFFFF"/>
                <w:sz w:val="19"/>
              </w:rPr>
              <w:t>مقدار</w:t>
            </w:r>
          </w:p>
        </w:tc>
      </w:tr>
      <w:tr>
        <w:tc>
          <w:tcPr>
            <w:tcW w:type="dxa" w:w="3969"/>
            <w:shd w:val="clear" w:color="auto" w:fill="EBF0F7"/>
          </w:tcPr>
          <w:p>
            <w:pPr>
              <w:jc w:val="center"/>
            </w:pPr>
            <w:r>
              <w:rPr>
                <w:rFonts w:ascii="Times New Roman" w:hAnsi="Times New Roman"/>
                <w:sz w:val="19"/>
              </w:rPr>
              <w:t>تعداد کل سطرها</w:t>
            </w:r>
          </w:p>
        </w:tc>
        <w:tc>
          <w:tcPr>
            <w:tcW w:type="dxa" w:w="5102"/>
            <w:shd w:val="clear" w:color="auto" w:fill="EBF0F7"/>
          </w:tcPr>
          <w:p>
            <w:pPr>
              <w:jc w:val="center"/>
            </w:pPr>
            <w:r>
              <w:rPr>
                <w:rFonts w:ascii="Times New Roman" w:hAnsi="Times New Roman"/>
                <w:sz w:val="19"/>
              </w:rPr>
              <w:t>10,438</w:t>
            </w:r>
          </w:p>
        </w:tc>
      </w:tr>
      <w:tr>
        <w:tc>
          <w:tcPr>
            <w:tcW w:type="dxa" w:w="3969"/>
            <w:shd w:val="clear" w:color="auto" w:fill="FFFFFF"/>
          </w:tcPr>
          <w:p>
            <w:pPr>
              <w:jc w:val="center"/>
            </w:pPr>
            <w:r>
              <w:rPr>
                <w:rFonts w:ascii="Times New Roman" w:hAnsi="Times New Roman"/>
                <w:sz w:val="19"/>
              </w:rPr>
              <w:t>تعداد ستون‌ها</w:t>
            </w:r>
          </w:p>
        </w:tc>
        <w:tc>
          <w:tcPr>
            <w:tcW w:type="dxa" w:w="5102"/>
            <w:shd w:val="clear" w:color="auto" w:fill="FFFFFF"/>
          </w:tcPr>
          <w:p>
            <w:pPr>
              <w:jc w:val="center"/>
            </w:pPr>
            <w:r>
              <w:rPr>
                <w:rFonts w:ascii="Times New Roman" w:hAnsi="Times New Roman"/>
                <w:sz w:val="19"/>
              </w:rPr>
              <w:t>62 (بدون ستون تاریخ)</w:t>
            </w:r>
          </w:p>
        </w:tc>
      </w:tr>
      <w:tr>
        <w:tc>
          <w:tcPr>
            <w:tcW w:type="dxa" w:w="3969"/>
            <w:shd w:val="clear" w:color="auto" w:fill="EBF0F7"/>
          </w:tcPr>
          <w:p>
            <w:pPr>
              <w:jc w:val="center"/>
            </w:pPr>
            <w:r>
              <w:rPr>
                <w:rFonts w:ascii="Times New Roman" w:hAnsi="Times New Roman"/>
                <w:sz w:val="19"/>
              </w:rPr>
              <w:t>بازه زمانی</w:t>
            </w:r>
          </w:p>
        </w:tc>
        <w:tc>
          <w:tcPr>
            <w:tcW w:type="dxa" w:w="5102"/>
            <w:shd w:val="clear" w:color="auto" w:fill="EBF0F7"/>
          </w:tcPr>
          <w:p>
            <w:pPr>
              <w:jc w:val="center"/>
            </w:pPr>
            <w:r>
              <w:rPr>
                <w:rFonts w:ascii="Times New Roman" w:hAnsi="Times New Roman"/>
                <w:sz w:val="19"/>
              </w:rPr>
              <w:t>1986-01-02 تا 2026-01-09</w:t>
            </w:r>
          </w:p>
        </w:tc>
      </w:tr>
      <w:tr>
        <w:tc>
          <w:tcPr>
            <w:tcW w:type="dxa" w:w="3969"/>
            <w:shd w:val="clear" w:color="auto" w:fill="FFFFFF"/>
          </w:tcPr>
          <w:p>
            <w:pPr>
              <w:jc w:val="center"/>
            </w:pPr>
            <w:r>
              <w:rPr>
                <w:rFonts w:ascii="Times New Roman" w:hAnsi="Times New Roman"/>
                <w:sz w:val="19"/>
              </w:rPr>
              <w:t>نرخ missing کل</w:t>
            </w:r>
          </w:p>
        </w:tc>
        <w:tc>
          <w:tcPr>
            <w:tcW w:type="dxa" w:w="5102"/>
            <w:shd w:val="clear" w:color="auto" w:fill="FFFFFF"/>
          </w:tcPr>
          <w:p>
            <w:pPr>
              <w:jc w:val="center"/>
            </w:pPr>
            <w:r>
              <w:rPr>
                <w:rFonts w:ascii="Times New Roman" w:hAnsi="Times New Roman"/>
                <w:sz w:val="19"/>
              </w:rPr>
              <w:t>42.8 %</w:t>
            </w:r>
          </w:p>
        </w:tc>
      </w:tr>
      <w:tr>
        <w:tc>
          <w:tcPr>
            <w:tcW w:type="dxa" w:w="3969"/>
            <w:shd w:val="clear" w:color="auto" w:fill="EBF0F7"/>
          </w:tcPr>
          <w:p>
            <w:pPr>
              <w:jc w:val="center"/>
            </w:pPr>
            <w:r>
              <w:rPr>
                <w:rFonts w:ascii="Times New Roman" w:hAnsi="Times New Roman"/>
                <w:sz w:val="19"/>
              </w:rPr>
              <w:t>دارایی‌های اصلی</w:t>
            </w:r>
          </w:p>
        </w:tc>
        <w:tc>
          <w:tcPr>
            <w:tcW w:type="dxa" w:w="5102"/>
            <w:shd w:val="clear" w:color="auto" w:fill="EBF0F7"/>
          </w:tcPr>
          <w:p>
            <w:pPr>
              <w:jc w:val="center"/>
            </w:pPr>
            <w:r>
              <w:rPr>
                <w:rFonts w:ascii="Times New Roman" w:hAnsi="Times New Roman"/>
                <w:sz w:val="19"/>
              </w:rPr>
              <w:t>WTI_SPOT، BRENT_SPOT، OPEC_BASKET</w:t>
            </w:r>
          </w:p>
        </w:tc>
      </w:tr>
      <w:tr>
        <w:tc>
          <w:tcPr>
            <w:tcW w:type="dxa" w:w="3969"/>
            <w:shd w:val="clear" w:color="auto" w:fill="FFFFFF"/>
          </w:tcPr>
          <w:p>
            <w:pPr>
              <w:jc w:val="center"/>
            </w:pPr>
            <w:r>
              <w:rPr>
                <w:rFonts w:ascii="Times New Roman" w:hAnsi="Times New Roman"/>
                <w:sz w:val="19"/>
              </w:rPr>
              <w:t>ابزارهای آتی</w:t>
            </w:r>
          </w:p>
        </w:tc>
        <w:tc>
          <w:tcPr>
            <w:tcW w:type="dxa" w:w="5102"/>
            <w:shd w:val="clear" w:color="auto" w:fill="FFFFFF"/>
          </w:tcPr>
          <w:p>
            <w:pPr>
              <w:jc w:val="center"/>
            </w:pPr>
            <w:r>
              <w:rPr>
                <w:rFonts w:ascii="Times New Roman" w:hAnsi="Times New Roman"/>
                <w:sz w:val="19"/>
              </w:rPr>
              <w:t>CL1، CL2 (قراردادهای نزدیک و دور NYMEX)</w:t>
            </w:r>
          </w:p>
        </w:tc>
      </w:tr>
      <w:tr>
        <w:tc>
          <w:tcPr>
            <w:tcW w:type="dxa" w:w="3969"/>
            <w:shd w:val="clear" w:color="auto" w:fill="EBF0F7"/>
          </w:tcPr>
          <w:p>
            <w:pPr>
              <w:jc w:val="center"/>
            </w:pPr>
            <w:r>
              <w:rPr>
                <w:rFonts w:ascii="Times New Roman" w:hAnsi="Times New Roman"/>
                <w:sz w:val="19"/>
              </w:rPr>
              <w:t>نوع بازده محاسبه‌شده</w:t>
            </w:r>
          </w:p>
        </w:tc>
        <w:tc>
          <w:tcPr>
            <w:tcW w:type="dxa" w:w="5102"/>
            <w:shd w:val="clear" w:color="auto" w:fill="EBF0F7"/>
          </w:tcPr>
          <w:p>
            <w:pPr>
              <w:jc w:val="center"/>
            </w:pPr>
            <w:r>
              <w:rPr>
                <w:rFonts w:ascii="Times New Roman" w:hAnsi="Times New Roman"/>
                <w:sz w:val="19"/>
              </w:rPr>
              <w:t>Log-return ترکیبی (hybrid)</w:t>
            </w:r>
          </w:p>
        </w:tc>
      </w:tr>
      <w:tr>
        <w:tc>
          <w:tcPr>
            <w:tcW w:type="dxa" w:w="3969"/>
            <w:shd w:val="clear" w:color="auto" w:fill="FFFFFF"/>
          </w:tcPr>
          <w:p>
            <w:pPr>
              <w:jc w:val="center"/>
            </w:pPr>
            <w:r>
              <w:rPr>
                <w:rFonts w:ascii="Times New Roman" w:hAnsi="Times New Roman"/>
                <w:sz w:val="19"/>
              </w:rPr>
              <w:t>تعداد روزهای کاری آمریکا</w:t>
            </w:r>
          </w:p>
        </w:tc>
        <w:tc>
          <w:tcPr>
            <w:tcW w:type="dxa" w:w="5102"/>
            <w:shd w:val="clear" w:color="auto" w:fill="FFFFFF"/>
          </w:tcPr>
          <w:p>
            <w:pPr>
              <w:jc w:val="center"/>
            </w:pPr>
            <w:r>
              <w:rPr>
                <w:rFonts w:ascii="Times New Roman" w:hAnsi="Times New Roman"/>
                <w:sz w:val="19"/>
              </w:rPr>
              <w:t>10,438</w:t>
            </w:r>
          </w:p>
        </w:tc>
      </w:tr>
    </w:tbl>
    <w:p/>
    <w:p>
      <w:pPr>
        <w:spacing w:before="40" w:after="200"/>
        <w:jc w:val="center"/>
      </w:pPr>
      <w:r>
        <w:rPr>
          <w:rFonts w:ascii="Times New Roman" w:hAnsi="Times New Roman"/>
          <w:b/>
          <w:sz w:val="20"/>
        </w:rPr>
        <w:t xml:space="preserve">جدول 4.3 — </w:t>
      </w:r>
      <w:r>
        <w:rPr>
          <w:rFonts w:ascii="Times New Roman" w:hAnsi="Times New Roman"/>
          <w:i/>
          <w:sz w:val="20"/>
        </w:rPr>
        <w:t>مشخصات کلی مجموعه داده MasterData</w:t>
      </w:r>
    </w:p>
    <w:p>
      <w:pPr>
        <w:pStyle w:val="Heading3"/>
      </w:pPr>
      <w:r>
        <w:t>4.2.2  سری‌های زمانی قیمت</w:t>
      </w:r>
    </w:p>
    <w:p>
      <w:pPr>
        <w:ind w:firstLine="425"/>
        <w:jc w:val="both"/>
      </w:pPr>
      <w:r>
        <w:t>شکل‌های ۴.۱ تا ۴.۳ سری‌های زمانی قیمت سه دارایی اصلی را نشان می‌دهند. قیمت WTI از ۱۹۸۶ با میانگین ۵۲.۰ دلار و حداکثر ۱۴۵ دلار (۲۰۲۲) بلندترین سابقه تاریخی را دارد. رویداد منحصربه‌فرد آوریل ۲۰۲۰ (قیمت منفی WTI) و سقوط ۲۰۱۴–۲۰۱۶ در این سری‌ها کاملاً مشهود است.</w:t>
      </w:r>
    </w:p>
    <w:p>
      <w:pPr>
        <w:spacing w:before="120"/>
        <w:jc w:val="center"/>
      </w:pPr>
      <w:r>
        <w:drawing>
          <wp:inline xmlns:a="http://schemas.openxmlformats.org/drawingml/2006/main" xmlns:pic="http://schemas.openxmlformats.org/drawingml/2006/picture">
            <wp:extent cx="5040000" cy="3780000"/>
            <wp:docPr id="1" name="Picture 1"/>
            <wp:cNvGraphicFramePr>
              <a:graphicFrameLocks noChangeAspect="1"/>
            </wp:cNvGraphicFramePr>
            <a:graphic>
              <a:graphicData uri="http://schemas.openxmlformats.org/drawingml/2006/picture">
                <pic:pic>
                  <pic:nvPicPr>
                    <pic:cNvPr id="0" name="ts_WTI.png"/>
                    <pic:cNvPicPr/>
                  </pic:nvPicPr>
                  <pic:blipFill>
                    <a:blip r:embed="rId9"/>
                    <a:stretch>
                      <a:fillRect/>
                    </a:stretch>
                  </pic:blipFill>
                  <pic:spPr>
                    <a:xfrm>
                      <a:off x="0" y="0"/>
                      <a:ext cx="5040000" cy="3780000"/>
                    </a:xfrm>
                    <a:prstGeom prst="rect"/>
                  </pic:spPr>
                </pic:pic>
              </a:graphicData>
            </a:graphic>
          </wp:inline>
        </w:drawing>
      </w:r>
    </w:p>
    <w:p>
      <w:pPr>
        <w:spacing w:before="40" w:after="200"/>
        <w:jc w:val="center"/>
      </w:pPr>
      <w:r>
        <w:rPr>
          <w:rFonts w:ascii="Times New Roman" w:hAnsi="Times New Roman"/>
          <w:b/>
          <w:sz w:val="20"/>
        </w:rPr>
        <w:t xml:space="preserve">شکل 4.1 — </w:t>
      </w:r>
      <w:r>
        <w:rPr>
          <w:rFonts w:ascii="Times New Roman" w:hAnsi="Times New Roman"/>
          <w:i/>
          <w:sz w:val="20"/>
        </w:rPr>
        <w:t>سری زمانی قیمت WTI Spot (1986–2025): نقاط کلیدی — سقوط 2014، COVID 2020، اوج 2022</w:t>
      </w:r>
    </w:p>
    <w:p>
      <w:pPr>
        <w:spacing w:before="12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ts_Brent.png"/>
                    <pic:cNvPicPr/>
                  </pic:nvPicPr>
                  <pic:blipFill>
                    <a:blip r:embed="rId10"/>
                    <a:stretch>
                      <a:fillRect/>
                    </a:stretch>
                  </pic:blipFill>
                  <pic:spPr>
                    <a:xfrm>
                      <a:off x="0" y="0"/>
                      <a:ext cx="5040000" cy="3780000"/>
                    </a:xfrm>
                    <a:prstGeom prst="rect"/>
                  </pic:spPr>
                </pic:pic>
              </a:graphicData>
            </a:graphic>
          </wp:inline>
        </w:drawing>
      </w:r>
    </w:p>
    <w:p>
      <w:pPr>
        <w:spacing w:before="40" w:after="200"/>
        <w:jc w:val="center"/>
      </w:pPr>
      <w:r>
        <w:rPr>
          <w:rFonts w:ascii="Times New Roman" w:hAnsi="Times New Roman"/>
          <w:b/>
          <w:sz w:val="20"/>
        </w:rPr>
        <w:t xml:space="preserve">شکل 4.2 — </w:t>
      </w:r>
      <w:r>
        <w:rPr>
          <w:rFonts w:ascii="Times New Roman" w:hAnsi="Times New Roman"/>
          <w:i/>
          <w:sz w:val="20"/>
        </w:rPr>
        <w:t>سری زمانی قیمت Brent Spot (1987–2025): همبستگی بالا با WTI، spread متغیر</w:t>
      </w:r>
    </w:p>
    <w:p>
      <w:pPr>
        <w:spacing w:before="120"/>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ts_OPEC.png"/>
                    <pic:cNvPicPr/>
                  </pic:nvPicPr>
                  <pic:blipFill>
                    <a:blip r:embed="rId11"/>
                    <a:stretch>
                      <a:fillRect/>
                    </a:stretch>
                  </pic:blipFill>
                  <pic:spPr>
                    <a:xfrm>
                      <a:off x="0" y="0"/>
                      <a:ext cx="5040000" cy="3780000"/>
                    </a:xfrm>
                    <a:prstGeom prst="rect"/>
                  </pic:spPr>
                </pic:pic>
              </a:graphicData>
            </a:graphic>
          </wp:inline>
        </w:drawing>
      </w:r>
    </w:p>
    <w:p>
      <w:pPr>
        <w:spacing w:before="40" w:after="200"/>
        <w:jc w:val="center"/>
      </w:pPr>
      <w:r>
        <w:rPr>
          <w:rFonts w:ascii="Times New Roman" w:hAnsi="Times New Roman"/>
          <w:b/>
          <w:sz w:val="20"/>
        </w:rPr>
        <w:t xml:space="preserve">شکل 4.3 — </w:t>
      </w:r>
      <w:r>
        <w:rPr>
          <w:rFonts w:ascii="Times New Roman" w:hAnsi="Times New Roman"/>
          <w:i/>
          <w:sz w:val="20"/>
        </w:rPr>
        <w:t>سری زمانی قیمت OPEC Basket (2003–2025): بازه کوتاه‌تر، نوسان مشابه Brent</w:t>
      </w:r>
    </w:p>
    <w:p>
      <w:pPr>
        <w:pStyle w:val="Heading3"/>
      </w:pPr>
      <w:r>
        <w:t>4.2.3  آمار توصیفی</w:t>
      </w:r>
    </w:p>
    <w:p>
      <w:pPr>
        <w:ind w:firstLine="425"/>
        <w:jc w:val="both"/>
      </w:pPr>
      <w:r>
        <w:t>جدول ۴.۴ آمار توصیفی سطح قیمت سه دارایی اصلی را ارائه می‌دهد. کشیدگی بسیار بالای WTI (به ویژه در سری CL1 با kurtosis=2940) ناشی از رویداد قیمت منفی آوریل ۲۰۲۰ است که کشیدگی مازاد استثنایی ایجاد می‌کند.</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551"/>
            <w:shd w:val="clear" w:color="auto" w:fill="1F497D"/>
            <w:vAlign w:val="center"/>
          </w:tcPr>
          <w:p>
            <w:pPr>
              <w:jc w:val="center"/>
            </w:pPr>
            <w:r>
              <w:rPr>
                <w:rFonts w:ascii="Times New Roman" w:hAnsi="Times New Roman"/>
                <w:b/>
                <w:color w:val="FFFFFF"/>
                <w:sz w:val="19"/>
              </w:rPr>
              <w:t>آماره</w:t>
            </w:r>
          </w:p>
        </w:tc>
        <w:tc>
          <w:tcPr>
            <w:tcW w:type="dxa" w:w="2268"/>
            <w:shd w:val="clear" w:color="auto" w:fill="1F497D"/>
            <w:vAlign w:val="center"/>
          </w:tcPr>
          <w:p>
            <w:pPr>
              <w:jc w:val="center"/>
            </w:pPr>
            <w:r>
              <w:rPr>
                <w:rFonts w:ascii="Times New Roman" w:hAnsi="Times New Roman"/>
                <w:b/>
                <w:color w:val="FFFFFF"/>
                <w:sz w:val="19"/>
              </w:rPr>
              <w:t>WTI Spot</w:t>
            </w:r>
          </w:p>
        </w:tc>
        <w:tc>
          <w:tcPr>
            <w:tcW w:type="dxa" w:w="2268"/>
            <w:shd w:val="clear" w:color="auto" w:fill="1F497D"/>
            <w:vAlign w:val="center"/>
          </w:tcPr>
          <w:p>
            <w:pPr>
              <w:jc w:val="center"/>
            </w:pPr>
            <w:r>
              <w:rPr>
                <w:rFonts w:ascii="Times New Roman" w:hAnsi="Times New Roman"/>
                <w:b/>
                <w:color w:val="FFFFFF"/>
                <w:sz w:val="19"/>
              </w:rPr>
              <w:t>Brent Spot</w:t>
            </w:r>
          </w:p>
        </w:tc>
        <w:tc>
          <w:tcPr>
            <w:tcW w:type="dxa" w:w="2268"/>
            <w:shd w:val="clear" w:color="auto" w:fill="1F497D"/>
            <w:vAlign w:val="center"/>
          </w:tcPr>
          <w:p>
            <w:pPr>
              <w:jc w:val="center"/>
            </w:pPr>
            <w:r>
              <w:rPr>
                <w:rFonts w:ascii="Times New Roman" w:hAnsi="Times New Roman"/>
                <w:b/>
                <w:color w:val="FFFFFF"/>
                <w:sz w:val="19"/>
              </w:rPr>
              <w:t>OPEC Basket</w:t>
            </w:r>
          </w:p>
        </w:tc>
      </w:tr>
      <w:tr>
        <w:tc>
          <w:tcPr>
            <w:tcW w:type="dxa" w:w="2551"/>
            <w:shd w:val="clear" w:color="auto" w:fill="EBF0F7"/>
          </w:tcPr>
          <w:p>
            <w:pPr>
              <w:jc w:val="center"/>
            </w:pPr>
            <w:r>
              <w:rPr>
                <w:rFonts w:ascii="Times New Roman" w:hAnsi="Times New Roman"/>
                <w:sz w:val="19"/>
              </w:rPr>
              <w:t>n (مشاهدات)</w:t>
            </w:r>
          </w:p>
        </w:tc>
        <w:tc>
          <w:tcPr>
            <w:tcW w:type="dxa" w:w="2268"/>
            <w:shd w:val="clear" w:color="auto" w:fill="EBF0F7"/>
          </w:tcPr>
          <w:p>
            <w:pPr>
              <w:jc w:val="center"/>
            </w:pPr>
            <w:r>
              <w:rPr>
                <w:rFonts w:ascii="Times New Roman" w:hAnsi="Times New Roman"/>
                <w:sz w:val="19"/>
              </w:rPr>
              <w:t>10,438</w:t>
            </w:r>
          </w:p>
        </w:tc>
        <w:tc>
          <w:tcPr>
            <w:tcW w:type="dxa" w:w="2268"/>
            <w:shd w:val="clear" w:color="auto" w:fill="EBF0F7"/>
          </w:tcPr>
          <w:p>
            <w:pPr>
              <w:jc w:val="center"/>
            </w:pPr>
            <w:r>
              <w:rPr>
                <w:rFonts w:ascii="Times New Roman" w:hAnsi="Times New Roman"/>
                <w:sz w:val="19"/>
              </w:rPr>
              <w:t>10,101</w:t>
            </w:r>
          </w:p>
        </w:tc>
        <w:tc>
          <w:tcPr>
            <w:tcW w:type="dxa" w:w="2268"/>
            <w:shd w:val="clear" w:color="auto" w:fill="EBF0F7"/>
          </w:tcPr>
          <w:p>
            <w:pPr>
              <w:jc w:val="center"/>
            </w:pPr>
            <w:r>
              <w:rPr>
                <w:rFonts w:ascii="Times New Roman" w:hAnsi="Times New Roman"/>
                <w:sz w:val="19"/>
              </w:rPr>
              <w:t>5,770</w:t>
            </w:r>
          </w:p>
        </w:tc>
      </w:tr>
      <w:tr>
        <w:tc>
          <w:tcPr>
            <w:tcW w:type="dxa" w:w="2551"/>
            <w:shd w:val="clear" w:color="auto" w:fill="FFFFFF"/>
          </w:tcPr>
          <w:p>
            <w:pPr>
              <w:jc w:val="center"/>
            </w:pPr>
            <w:r>
              <w:rPr>
                <w:rFonts w:ascii="Times New Roman" w:hAnsi="Times New Roman"/>
                <w:sz w:val="19"/>
              </w:rPr>
              <w:t>میانگین ($)</w:t>
            </w:r>
          </w:p>
        </w:tc>
        <w:tc>
          <w:tcPr>
            <w:tcW w:type="dxa" w:w="2268"/>
            <w:shd w:val="clear" w:color="auto" w:fill="FFFFFF"/>
          </w:tcPr>
          <w:p>
            <w:pPr>
              <w:jc w:val="center"/>
            </w:pPr>
            <w:r>
              <w:rPr>
                <w:rFonts w:ascii="Times New Roman" w:hAnsi="Times New Roman"/>
                <w:sz w:val="19"/>
              </w:rPr>
              <w:t>52.0</w:t>
            </w:r>
          </w:p>
        </w:tc>
        <w:tc>
          <w:tcPr>
            <w:tcW w:type="dxa" w:w="2268"/>
            <w:shd w:val="clear" w:color="auto" w:fill="FFFFFF"/>
          </w:tcPr>
          <w:p>
            <w:pPr>
              <w:jc w:val="center"/>
            </w:pPr>
            <w:r>
              <w:rPr>
                <w:rFonts w:ascii="Times New Roman" w:hAnsi="Times New Roman"/>
                <w:sz w:val="19"/>
              </w:rPr>
              <w:t>60.5</w:t>
            </w:r>
          </w:p>
        </w:tc>
        <w:tc>
          <w:tcPr>
            <w:tcW w:type="dxa" w:w="2268"/>
            <w:shd w:val="clear" w:color="auto" w:fill="FFFFFF"/>
          </w:tcPr>
          <w:p>
            <w:pPr>
              <w:jc w:val="center"/>
            </w:pPr>
            <w:r>
              <w:rPr>
                <w:rFonts w:ascii="Times New Roman" w:hAnsi="Times New Roman"/>
                <w:sz w:val="19"/>
              </w:rPr>
              <w:t>66.3</w:t>
            </w:r>
          </w:p>
        </w:tc>
      </w:tr>
      <w:tr>
        <w:tc>
          <w:tcPr>
            <w:tcW w:type="dxa" w:w="2551"/>
            <w:shd w:val="clear" w:color="auto" w:fill="EBF0F7"/>
          </w:tcPr>
          <w:p>
            <w:pPr>
              <w:jc w:val="center"/>
            </w:pPr>
            <w:r>
              <w:rPr>
                <w:rFonts w:ascii="Times New Roman" w:hAnsi="Times New Roman"/>
                <w:sz w:val="19"/>
              </w:rPr>
              <w:t>انحراف معیار</w:t>
            </w:r>
          </w:p>
        </w:tc>
        <w:tc>
          <w:tcPr>
            <w:tcW w:type="dxa" w:w="2268"/>
            <w:shd w:val="clear" w:color="auto" w:fill="EBF0F7"/>
          </w:tcPr>
          <w:p>
            <w:pPr>
              <w:jc w:val="center"/>
            </w:pPr>
            <w:r>
              <w:rPr>
                <w:rFonts w:ascii="Times New Roman" w:hAnsi="Times New Roman"/>
                <w:sz w:val="19"/>
              </w:rPr>
              <w:t>27.5</w:t>
            </w:r>
          </w:p>
        </w:tc>
        <w:tc>
          <w:tcPr>
            <w:tcW w:type="dxa" w:w="2268"/>
            <w:shd w:val="clear" w:color="auto" w:fill="EBF0F7"/>
          </w:tcPr>
          <w:p>
            <w:pPr>
              <w:jc w:val="center"/>
            </w:pPr>
            <w:r>
              <w:rPr>
                <w:rFonts w:ascii="Times New Roman" w:hAnsi="Times New Roman"/>
                <w:sz w:val="19"/>
              </w:rPr>
              <w:t>29.4</w:t>
            </w:r>
          </w:p>
        </w:tc>
        <w:tc>
          <w:tcPr>
            <w:tcW w:type="dxa" w:w="2268"/>
            <w:shd w:val="clear" w:color="auto" w:fill="EBF0F7"/>
          </w:tcPr>
          <w:p>
            <w:pPr>
              <w:jc w:val="center"/>
            </w:pPr>
            <w:r>
              <w:rPr>
                <w:rFonts w:ascii="Times New Roman" w:hAnsi="Times New Roman"/>
                <w:sz w:val="19"/>
              </w:rPr>
              <w:t>26.4</w:t>
            </w:r>
          </w:p>
        </w:tc>
      </w:tr>
      <w:tr>
        <w:tc>
          <w:tcPr>
            <w:tcW w:type="dxa" w:w="2551"/>
            <w:shd w:val="clear" w:color="auto" w:fill="FFFFFF"/>
          </w:tcPr>
          <w:p>
            <w:pPr>
              <w:jc w:val="center"/>
            </w:pPr>
            <w:r>
              <w:rPr>
                <w:rFonts w:ascii="Times New Roman" w:hAnsi="Times New Roman"/>
                <w:sz w:val="19"/>
              </w:rPr>
              <w:t>حداقل ($)</w:t>
            </w:r>
          </w:p>
        </w:tc>
        <w:tc>
          <w:tcPr>
            <w:tcW w:type="dxa" w:w="2268"/>
            <w:shd w:val="clear" w:color="auto" w:fill="FFFFFF"/>
          </w:tcPr>
          <w:p>
            <w:pPr>
              <w:jc w:val="center"/>
            </w:pPr>
            <w:r>
              <w:rPr>
                <w:rFonts w:ascii="Times New Roman" w:hAnsi="Times New Roman"/>
                <w:sz w:val="19"/>
              </w:rPr>
              <w:t>−37.6</w:t>
            </w:r>
          </w:p>
        </w:tc>
        <w:tc>
          <w:tcPr>
            <w:tcW w:type="dxa" w:w="2268"/>
            <w:shd w:val="clear" w:color="auto" w:fill="FFFFFF"/>
          </w:tcPr>
          <w:p>
            <w:pPr>
              <w:jc w:val="center"/>
            </w:pPr>
            <w:r>
              <w:rPr>
                <w:rFonts w:ascii="Times New Roman" w:hAnsi="Times New Roman"/>
                <w:sz w:val="19"/>
              </w:rPr>
              <w:t>9.1</w:t>
            </w:r>
          </w:p>
        </w:tc>
        <w:tc>
          <w:tcPr>
            <w:tcW w:type="dxa" w:w="2268"/>
            <w:shd w:val="clear" w:color="auto" w:fill="FFFFFF"/>
          </w:tcPr>
          <w:p>
            <w:pPr>
              <w:jc w:val="center"/>
            </w:pPr>
            <w:r>
              <w:rPr>
                <w:rFonts w:ascii="Times New Roman" w:hAnsi="Times New Roman"/>
                <w:sz w:val="19"/>
              </w:rPr>
              <w:t>18.4</w:t>
            </w:r>
          </w:p>
        </w:tc>
      </w:tr>
      <w:tr>
        <w:tc>
          <w:tcPr>
            <w:tcW w:type="dxa" w:w="2551"/>
            <w:shd w:val="clear" w:color="auto" w:fill="EBF0F7"/>
          </w:tcPr>
          <w:p>
            <w:pPr>
              <w:jc w:val="center"/>
            </w:pPr>
            <w:r>
              <w:rPr>
                <w:rFonts w:ascii="Times New Roman" w:hAnsi="Times New Roman"/>
                <w:sz w:val="19"/>
              </w:rPr>
              <w:t>حداکثر ($)</w:t>
            </w:r>
          </w:p>
        </w:tc>
        <w:tc>
          <w:tcPr>
            <w:tcW w:type="dxa" w:w="2268"/>
            <w:shd w:val="clear" w:color="auto" w:fill="EBF0F7"/>
          </w:tcPr>
          <w:p>
            <w:pPr>
              <w:jc w:val="center"/>
            </w:pPr>
            <w:r>
              <w:rPr>
                <w:rFonts w:ascii="Times New Roman" w:hAnsi="Times New Roman"/>
                <w:sz w:val="19"/>
              </w:rPr>
              <w:t>145.3</w:t>
            </w:r>
          </w:p>
        </w:tc>
        <w:tc>
          <w:tcPr>
            <w:tcW w:type="dxa" w:w="2268"/>
            <w:shd w:val="clear" w:color="auto" w:fill="EBF0F7"/>
          </w:tcPr>
          <w:p>
            <w:pPr>
              <w:jc w:val="center"/>
            </w:pPr>
            <w:r>
              <w:rPr>
                <w:rFonts w:ascii="Times New Roman" w:hAnsi="Times New Roman"/>
                <w:sz w:val="19"/>
              </w:rPr>
              <w:t>143.9</w:t>
            </w:r>
          </w:p>
        </w:tc>
        <w:tc>
          <w:tcPr>
            <w:tcW w:type="dxa" w:w="2268"/>
            <w:shd w:val="clear" w:color="auto" w:fill="EBF0F7"/>
          </w:tcPr>
          <w:p>
            <w:pPr>
              <w:jc w:val="center"/>
            </w:pPr>
            <w:r>
              <w:rPr>
                <w:rFonts w:ascii="Times New Roman" w:hAnsi="Times New Roman"/>
                <w:sz w:val="19"/>
              </w:rPr>
              <w:t>140.7</w:t>
            </w:r>
          </w:p>
        </w:tc>
      </w:tr>
      <w:tr>
        <w:tc>
          <w:tcPr>
            <w:tcW w:type="dxa" w:w="2551"/>
            <w:shd w:val="clear" w:color="auto" w:fill="FFFFFF"/>
          </w:tcPr>
          <w:p>
            <w:pPr>
              <w:jc w:val="center"/>
            </w:pPr>
            <w:r>
              <w:rPr>
                <w:rFonts w:ascii="Times New Roman" w:hAnsi="Times New Roman"/>
                <w:sz w:val="19"/>
              </w:rPr>
              <w:t>چولگی</w:t>
            </w:r>
          </w:p>
        </w:tc>
        <w:tc>
          <w:tcPr>
            <w:tcW w:type="dxa" w:w="2268"/>
            <w:shd w:val="clear" w:color="auto" w:fill="FFFFFF"/>
          </w:tcPr>
          <w:p>
            <w:pPr>
              <w:jc w:val="center"/>
            </w:pPr>
            <w:r>
              <w:rPr>
                <w:rFonts w:ascii="Times New Roman" w:hAnsi="Times New Roman"/>
                <w:sz w:val="19"/>
              </w:rPr>
              <w:t>−0.62</w:t>
            </w:r>
          </w:p>
        </w:tc>
        <w:tc>
          <w:tcPr>
            <w:tcW w:type="dxa" w:w="2268"/>
            <w:shd w:val="clear" w:color="auto" w:fill="FFFFFF"/>
          </w:tcPr>
          <w:p>
            <w:pPr>
              <w:jc w:val="center"/>
            </w:pPr>
            <w:r>
              <w:rPr>
                <w:rFonts w:ascii="Times New Roman" w:hAnsi="Times New Roman"/>
                <w:sz w:val="19"/>
              </w:rPr>
              <w:t>0.45</w:t>
            </w:r>
          </w:p>
        </w:tc>
        <w:tc>
          <w:tcPr>
            <w:tcW w:type="dxa" w:w="2268"/>
            <w:shd w:val="clear" w:color="auto" w:fill="FFFFFF"/>
          </w:tcPr>
          <w:p>
            <w:pPr>
              <w:jc w:val="center"/>
            </w:pPr>
            <w:r>
              <w:rPr>
                <w:rFonts w:ascii="Times New Roman" w:hAnsi="Times New Roman"/>
                <w:sz w:val="19"/>
              </w:rPr>
              <w:t>0.36</w:t>
            </w:r>
          </w:p>
        </w:tc>
      </w:tr>
      <w:tr>
        <w:tc>
          <w:tcPr>
            <w:tcW w:type="dxa" w:w="2551"/>
            <w:shd w:val="clear" w:color="auto" w:fill="EBF0F7"/>
          </w:tcPr>
          <w:p>
            <w:pPr>
              <w:jc w:val="center"/>
            </w:pPr>
            <w:r>
              <w:rPr>
                <w:rFonts w:ascii="Times New Roman" w:hAnsi="Times New Roman"/>
                <w:sz w:val="19"/>
              </w:rPr>
              <w:t>کشیدگی</w:t>
            </w:r>
          </w:p>
        </w:tc>
        <w:tc>
          <w:tcPr>
            <w:tcW w:type="dxa" w:w="2268"/>
            <w:shd w:val="clear" w:color="auto" w:fill="EBF0F7"/>
          </w:tcPr>
          <w:p>
            <w:pPr>
              <w:jc w:val="center"/>
            </w:pPr>
            <w:r>
              <w:rPr>
                <w:rFonts w:ascii="Times New Roman" w:hAnsi="Times New Roman"/>
                <w:sz w:val="19"/>
              </w:rPr>
              <w:t>2715</w:t>
            </w:r>
          </w:p>
        </w:tc>
        <w:tc>
          <w:tcPr>
            <w:tcW w:type="dxa" w:w="2268"/>
            <w:shd w:val="clear" w:color="auto" w:fill="EBF0F7"/>
          </w:tcPr>
          <w:p>
            <w:pPr>
              <w:jc w:val="center"/>
            </w:pPr>
            <w:r>
              <w:rPr>
                <w:rFonts w:ascii="Times New Roman" w:hAnsi="Times New Roman"/>
                <w:sz w:val="19"/>
              </w:rPr>
              <w:t>4.2</w:t>
            </w:r>
          </w:p>
        </w:tc>
        <w:tc>
          <w:tcPr>
            <w:tcW w:type="dxa" w:w="2268"/>
            <w:shd w:val="clear" w:color="auto" w:fill="EBF0F7"/>
          </w:tcPr>
          <w:p>
            <w:pPr>
              <w:jc w:val="center"/>
            </w:pPr>
            <w:r>
              <w:rPr>
                <w:rFonts w:ascii="Times New Roman" w:hAnsi="Times New Roman"/>
                <w:sz w:val="19"/>
              </w:rPr>
              <w:t>3.8</w:t>
            </w:r>
          </w:p>
        </w:tc>
      </w:tr>
      <w:tr>
        <w:tc>
          <w:tcPr>
            <w:tcW w:type="dxa" w:w="2551"/>
            <w:shd w:val="clear" w:color="auto" w:fill="FFFFFF"/>
          </w:tcPr>
          <w:p>
            <w:pPr>
              <w:jc w:val="center"/>
            </w:pPr>
            <w:r>
              <w:rPr>
                <w:rFonts w:ascii="Times New Roman" w:hAnsi="Times New Roman"/>
                <w:sz w:val="19"/>
              </w:rPr>
              <w:t>دوره شروع</w:t>
            </w:r>
          </w:p>
        </w:tc>
        <w:tc>
          <w:tcPr>
            <w:tcW w:type="dxa" w:w="2268"/>
            <w:shd w:val="clear" w:color="auto" w:fill="FFFFFF"/>
          </w:tcPr>
          <w:p>
            <w:pPr>
              <w:jc w:val="center"/>
            </w:pPr>
            <w:r>
              <w:rPr>
                <w:rFonts w:ascii="Times New Roman" w:hAnsi="Times New Roman"/>
                <w:sz w:val="19"/>
              </w:rPr>
              <w:t>1986</w:t>
            </w:r>
          </w:p>
        </w:tc>
        <w:tc>
          <w:tcPr>
            <w:tcW w:type="dxa" w:w="2268"/>
            <w:shd w:val="clear" w:color="auto" w:fill="FFFFFF"/>
          </w:tcPr>
          <w:p>
            <w:pPr>
              <w:jc w:val="center"/>
            </w:pPr>
            <w:r>
              <w:rPr>
                <w:rFonts w:ascii="Times New Roman" w:hAnsi="Times New Roman"/>
                <w:sz w:val="19"/>
              </w:rPr>
              <w:t>1987</w:t>
            </w:r>
          </w:p>
        </w:tc>
        <w:tc>
          <w:tcPr>
            <w:tcW w:type="dxa" w:w="2268"/>
            <w:shd w:val="clear" w:color="auto" w:fill="FFFFFF"/>
          </w:tcPr>
          <w:p>
            <w:pPr>
              <w:jc w:val="center"/>
            </w:pPr>
            <w:r>
              <w:rPr>
                <w:rFonts w:ascii="Times New Roman" w:hAnsi="Times New Roman"/>
                <w:sz w:val="19"/>
              </w:rPr>
              <w:t>2003</w:t>
            </w:r>
          </w:p>
        </w:tc>
      </w:tr>
    </w:tbl>
    <w:p/>
    <w:p>
      <w:pPr>
        <w:spacing w:before="40" w:after="200"/>
        <w:jc w:val="center"/>
      </w:pPr>
      <w:r>
        <w:rPr>
          <w:rFonts w:ascii="Times New Roman" w:hAnsi="Times New Roman"/>
          <w:b/>
          <w:sz w:val="20"/>
        </w:rPr>
        <w:t xml:space="preserve">جدول 4.4 — </w:t>
      </w:r>
      <w:r>
        <w:rPr>
          <w:rFonts w:ascii="Times New Roman" w:hAnsi="Times New Roman"/>
          <w:i/>
          <w:sz w:val="20"/>
        </w:rPr>
        <w:t>آمار توصیفی قیمت روزانه دارایی‌های اصلی (دلار/بشکه)</w:t>
      </w:r>
    </w:p>
    <w:p>
      <w:pPr>
        <w:ind w:firstLine="425"/>
        <w:jc w:val="both"/>
      </w:pPr>
      <w:r>
        <w:t>جدول ۴.۵ آمار بازده‌های لگاریتمی ترکیبی را نشان می‌دهد. توجه به کشیدگی مازاد بسیار بالا و چولگی منفی در WTI نشان‌دهنده fat-tail بودن توزیع بازده‌هاست که انگیزه اصلی استفاده از LPM به عنوان معیار ریسک است.</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268"/>
            <w:shd w:val="clear" w:color="auto" w:fill="1F497D"/>
            <w:vAlign w:val="center"/>
          </w:tcPr>
          <w:p>
            <w:pPr>
              <w:jc w:val="center"/>
            </w:pPr>
            <w:r>
              <w:rPr>
                <w:rFonts w:ascii="Times New Roman" w:hAnsi="Times New Roman"/>
                <w:b/>
                <w:color w:val="FFFFFF"/>
                <w:sz w:val="19"/>
              </w:rPr>
              <w:t>آماره</w:t>
            </w:r>
          </w:p>
        </w:tc>
        <w:tc>
          <w:tcPr>
            <w:tcW w:type="dxa" w:w="1361"/>
            <w:shd w:val="clear" w:color="auto" w:fill="1F497D"/>
            <w:vAlign w:val="center"/>
          </w:tcPr>
          <w:p>
            <w:pPr>
              <w:jc w:val="center"/>
            </w:pPr>
            <w:r>
              <w:rPr>
                <w:rFonts w:ascii="Times New Roman" w:hAnsi="Times New Roman"/>
                <w:b/>
                <w:color w:val="FFFFFF"/>
                <w:sz w:val="19"/>
              </w:rPr>
              <w:t>WTI</w:t>
            </w:r>
          </w:p>
        </w:tc>
        <w:tc>
          <w:tcPr>
            <w:tcW w:type="dxa" w:w="1361"/>
            <w:shd w:val="clear" w:color="auto" w:fill="1F497D"/>
            <w:vAlign w:val="center"/>
          </w:tcPr>
          <w:p>
            <w:pPr>
              <w:jc w:val="center"/>
            </w:pPr>
            <w:r>
              <w:rPr>
                <w:rFonts w:ascii="Times New Roman" w:hAnsi="Times New Roman"/>
                <w:b/>
                <w:color w:val="FFFFFF"/>
                <w:sz w:val="19"/>
              </w:rPr>
              <w:t>Brent</w:t>
            </w:r>
          </w:p>
        </w:tc>
        <w:tc>
          <w:tcPr>
            <w:tcW w:type="dxa" w:w="1361"/>
            <w:shd w:val="clear" w:color="auto" w:fill="1F497D"/>
            <w:vAlign w:val="center"/>
          </w:tcPr>
          <w:p>
            <w:pPr>
              <w:jc w:val="center"/>
            </w:pPr>
            <w:r>
              <w:rPr>
                <w:rFonts w:ascii="Times New Roman" w:hAnsi="Times New Roman"/>
                <w:b/>
                <w:color w:val="FFFFFF"/>
                <w:sz w:val="19"/>
              </w:rPr>
              <w:t>OPEC</w:t>
            </w:r>
          </w:p>
        </w:tc>
        <w:tc>
          <w:tcPr>
            <w:tcW w:type="dxa" w:w="1361"/>
            <w:shd w:val="clear" w:color="auto" w:fill="1F497D"/>
            <w:vAlign w:val="center"/>
          </w:tcPr>
          <w:p>
            <w:pPr>
              <w:jc w:val="center"/>
            </w:pPr>
            <w:r>
              <w:rPr>
                <w:rFonts w:ascii="Times New Roman" w:hAnsi="Times New Roman"/>
                <w:b/>
                <w:color w:val="FFFFFF"/>
                <w:sz w:val="19"/>
              </w:rPr>
              <w:t>CL1</w:t>
            </w:r>
          </w:p>
        </w:tc>
        <w:tc>
          <w:tcPr>
            <w:tcW w:type="dxa" w:w="1361"/>
            <w:shd w:val="clear" w:color="auto" w:fill="1F497D"/>
            <w:vAlign w:val="center"/>
          </w:tcPr>
          <w:p>
            <w:pPr>
              <w:jc w:val="center"/>
            </w:pPr>
            <w:r>
              <w:rPr>
                <w:rFonts w:ascii="Times New Roman" w:hAnsi="Times New Roman"/>
                <w:b/>
                <w:color w:val="FFFFFF"/>
                <w:sz w:val="19"/>
              </w:rPr>
              <w:t>CL2</w:t>
            </w:r>
          </w:p>
        </w:tc>
      </w:tr>
      <w:tr>
        <w:tc>
          <w:tcPr>
            <w:tcW w:type="dxa" w:w="2268"/>
            <w:shd w:val="clear" w:color="auto" w:fill="EBF0F7"/>
          </w:tcPr>
          <w:p>
            <w:pPr>
              <w:jc w:val="center"/>
            </w:pPr>
            <w:r>
              <w:rPr>
                <w:rFonts w:ascii="Times New Roman" w:hAnsi="Times New Roman"/>
                <w:sz w:val="19"/>
              </w:rPr>
              <w:t>میانگین بازده</w:t>
            </w:r>
          </w:p>
        </w:tc>
        <w:tc>
          <w:tcPr>
            <w:tcW w:type="dxa" w:w="1361"/>
            <w:shd w:val="clear" w:color="auto" w:fill="EBF0F7"/>
          </w:tcPr>
          <w:p>
            <w:pPr>
              <w:jc w:val="center"/>
            </w:pPr>
            <w:r>
              <w:rPr>
                <w:rFonts w:ascii="Times New Roman" w:hAnsi="Times New Roman"/>
                <w:sz w:val="19"/>
              </w:rPr>
              <w:t>0.00017</w:t>
            </w:r>
          </w:p>
        </w:tc>
        <w:tc>
          <w:tcPr>
            <w:tcW w:type="dxa" w:w="1361"/>
            <w:shd w:val="clear" w:color="auto" w:fill="EBF0F7"/>
          </w:tcPr>
          <w:p>
            <w:pPr>
              <w:jc w:val="center"/>
            </w:pPr>
            <w:r>
              <w:rPr>
                <w:rFonts w:ascii="Times New Roman" w:hAnsi="Times New Roman"/>
                <w:sz w:val="19"/>
              </w:rPr>
              <w:t>0.00014</w:t>
            </w:r>
          </w:p>
        </w:tc>
        <w:tc>
          <w:tcPr>
            <w:tcW w:type="dxa" w:w="1361"/>
            <w:shd w:val="clear" w:color="auto" w:fill="EBF0F7"/>
          </w:tcPr>
          <w:p>
            <w:pPr>
              <w:jc w:val="center"/>
            </w:pPr>
            <w:r>
              <w:rPr>
                <w:rFonts w:ascii="Times New Roman" w:hAnsi="Times New Roman"/>
                <w:sz w:val="19"/>
              </w:rPr>
              <w:t>0.00017</w:t>
            </w:r>
          </w:p>
        </w:tc>
        <w:tc>
          <w:tcPr>
            <w:tcW w:type="dxa" w:w="1361"/>
            <w:shd w:val="clear" w:color="auto" w:fill="EBF0F7"/>
          </w:tcPr>
          <w:p>
            <w:pPr>
              <w:jc w:val="center"/>
            </w:pPr>
            <w:r>
              <w:rPr>
                <w:rFonts w:ascii="Times New Roman" w:hAnsi="Times New Roman"/>
                <w:sz w:val="19"/>
              </w:rPr>
              <w:t>0.00016</w:t>
            </w:r>
          </w:p>
        </w:tc>
        <w:tc>
          <w:tcPr>
            <w:tcW w:type="dxa" w:w="1361"/>
            <w:shd w:val="clear" w:color="auto" w:fill="EBF0F7"/>
          </w:tcPr>
          <w:p>
            <w:pPr>
              <w:jc w:val="center"/>
            </w:pPr>
            <w:r>
              <w:rPr>
                <w:rFonts w:ascii="Times New Roman" w:hAnsi="Times New Roman"/>
                <w:sz w:val="19"/>
              </w:rPr>
              <w:t>0.00015</w:t>
            </w:r>
          </w:p>
        </w:tc>
      </w:tr>
      <w:tr>
        <w:tc>
          <w:tcPr>
            <w:tcW w:type="dxa" w:w="2268"/>
            <w:shd w:val="clear" w:color="auto" w:fill="FFFFFF"/>
          </w:tcPr>
          <w:p>
            <w:pPr>
              <w:jc w:val="center"/>
            </w:pPr>
            <w:r>
              <w:rPr>
                <w:rFonts w:ascii="Times New Roman" w:hAnsi="Times New Roman"/>
                <w:sz w:val="19"/>
              </w:rPr>
              <w:t>انحراف معیار</w:t>
            </w:r>
          </w:p>
        </w:tc>
        <w:tc>
          <w:tcPr>
            <w:tcW w:type="dxa" w:w="1361"/>
            <w:shd w:val="clear" w:color="auto" w:fill="FFFFFF"/>
          </w:tcPr>
          <w:p>
            <w:pPr>
              <w:jc w:val="center"/>
            </w:pPr>
            <w:r>
              <w:rPr>
                <w:rFonts w:ascii="Times New Roman" w:hAnsi="Times New Roman"/>
                <w:sz w:val="19"/>
              </w:rPr>
              <w:t>0.0279</w:t>
            </w:r>
          </w:p>
        </w:tc>
        <w:tc>
          <w:tcPr>
            <w:tcW w:type="dxa" w:w="1361"/>
            <w:shd w:val="clear" w:color="auto" w:fill="FFFFFF"/>
          </w:tcPr>
          <w:p>
            <w:pPr>
              <w:jc w:val="center"/>
            </w:pPr>
            <w:r>
              <w:rPr>
                <w:rFonts w:ascii="Times New Roman" w:hAnsi="Times New Roman"/>
                <w:sz w:val="19"/>
              </w:rPr>
              <w:t>0.0214</w:t>
            </w:r>
          </w:p>
        </w:tc>
        <w:tc>
          <w:tcPr>
            <w:tcW w:type="dxa" w:w="1361"/>
            <w:shd w:val="clear" w:color="auto" w:fill="FFFFFF"/>
          </w:tcPr>
          <w:p>
            <w:pPr>
              <w:jc w:val="center"/>
            </w:pPr>
            <w:r>
              <w:rPr>
                <w:rFonts w:ascii="Times New Roman" w:hAnsi="Times New Roman"/>
                <w:sz w:val="19"/>
              </w:rPr>
              <w:t>0.0182</w:t>
            </w:r>
          </w:p>
        </w:tc>
        <w:tc>
          <w:tcPr>
            <w:tcW w:type="dxa" w:w="1361"/>
            <w:shd w:val="clear" w:color="auto" w:fill="FFFFFF"/>
          </w:tcPr>
          <w:p>
            <w:pPr>
              <w:jc w:val="center"/>
            </w:pPr>
            <w:r>
              <w:rPr>
                <w:rFonts w:ascii="Times New Roman" w:hAnsi="Times New Roman"/>
                <w:sz w:val="19"/>
              </w:rPr>
              <w:t>0.0282</w:t>
            </w:r>
          </w:p>
        </w:tc>
        <w:tc>
          <w:tcPr>
            <w:tcW w:type="dxa" w:w="1361"/>
            <w:shd w:val="clear" w:color="auto" w:fill="FFFFFF"/>
          </w:tcPr>
          <w:p>
            <w:pPr>
              <w:jc w:val="center"/>
            </w:pPr>
            <w:r>
              <w:rPr>
                <w:rFonts w:ascii="Times New Roman" w:hAnsi="Times New Roman"/>
                <w:sz w:val="19"/>
              </w:rPr>
              <w:t>0.0248</w:t>
            </w:r>
          </w:p>
        </w:tc>
      </w:tr>
      <w:tr>
        <w:tc>
          <w:tcPr>
            <w:tcW w:type="dxa" w:w="2268"/>
            <w:shd w:val="clear" w:color="auto" w:fill="EBF0F7"/>
          </w:tcPr>
          <w:p>
            <w:pPr>
              <w:jc w:val="center"/>
            </w:pPr>
            <w:r>
              <w:rPr>
                <w:rFonts w:ascii="Times New Roman" w:hAnsi="Times New Roman"/>
                <w:sz w:val="19"/>
              </w:rPr>
              <w:t>حداقل بازده</w:t>
            </w:r>
          </w:p>
        </w:tc>
        <w:tc>
          <w:tcPr>
            <w:tcW w:type="dxa" w:w="1361"/>
            <w:shd w:val="clear" w:color="auto" w:fill="EBF0F7"/>
          </w:tcPr>
          <w:p>
            <w:pPr>
              <w:jc w:val="center"/>
            </w:pPr>
            <w:r>
              <w:rPr>
                <w:rFonts w:ascii="Times New Roman" w:hAnsi="Times New Roman"/>
                <w:sz w:val="19"/>
              </w:rPr>
              <w:t>−1.1573</w:t>
            </w:r>
          </w:p>
        </w:tc>
        <w:tc>
          <w:tcPr>
            <w:tcW w:type="dxa" w:w="1361"/>
            <w:shd w:val="clear" w:color="auto" w:fill="EBF0F7"/>
          </w:tcPr>
          <w:p>
            <w:pPr>
              <w:jc w:val="center"/>
            </w:pPr>
            <w:r>
              <w:rPr>
                <w:rFonts w:ascii="Times New Roman" w:hAnsi="Times New Roman"/>
                <w:sz w:val="19"/>
              </w:rPr>
              <w:t>−0.2695</w:t>
            </w:r>
          </w:p>
        </w:tc>
        <w:tc>
          <w:tcPr>
            <w:tcW w:type="dxa" w:w="1361"/>
            <w:shd w:val="clear" w:color="auto" w:fill="EBF0F7"/>
          </w:tcPr>
          <w:p>
            <w:pPr>
              <w:jc w:val="center"/>
            </w:pPr>
            <w:r>
              <w:rPr>
                <w:rFonts w:ascii="Times New Roman" w:hAnsi="Times New Roman"/>
                <w:sz w:val="19"/>
              </w:rPr>
              <w:t>−0.1696</w:t>
            </w:r>
          </w:p>
        </w:tc>
        <w:tc>
          <w:tcPr>
            <w:tcW w:type="dxa" w:w="1361"/>
            <w:shd w:val="clear" w:color="auto" w:fill="EBF0F7"/>
          </w:tcPr>
          <w:p>
            <w:pPr>
              <w:jc w:val="center"/>
            </w:pPr>
            <w:r>
              <w:rPr>
                <w:rFonts w:ascii="Times New Roman" w:hAnsi="Times New Roman"/>
                <w:sz w:val="19"/>
              </w:rPr>
              <w:t>−1.1573</w:t>
            </w:r>
          </w:p>
        </w:tc>
        <w:tc>
          <w:tcPr>
            <w:tcW w:type="dxa" w:w="1361"/>
            <w:shd w:val="clear" w:color="auto" w:fill="EBF0F7"/>
          </w:tcPr>
          <w:p>
            <w:pPr>
              <w:jc w:val="center"/>
            </w:pPr>
            <w:r>
              <w:rPr>
                <w:rFonts w:ascii="Times New Roman" w:hAnsi="Times New Roman"/>
                <w:sz w:val="19"/>
              </w:rPr>
              <w:t>−0.2695</w:t>
            </w:r>
          </w:p>
        </w:tc>
      </w:tr>
      <w:tr>
        <w:tc>
          <w:tcPr>
            <w:tcW w:type="dxa" w:w="2268"/>
            <w:shd w:val="clear" w:color="auto" w:fill="FFFFFF"/>
          </w:tcPr>
          <w:p>
            <w:pPr>
              <w:jc w:val="center"/>
            </w:pPr>
            <w:r>
              <w:rPr>
                <w:rFonts w:ascii="Times New Roman" w:hAnsi="Times New Roman"/>
                <w:sz w:val="19"/>
              </w:rPr>
              <w:t>حداکثر بازده</w:t>
            </w:r>
          </w:p>
        </w:tc>
        <w:tc>
          <w:tcPr>
            <w:tcW w:type="dxa" w:w="1361"/>
            <w:shd w:val="clear" w:color="auto" w:fill="FFFFFF"/>
          </w:tcPr>
          <w:p>
            <w:pPr>
              <w:jc w:val="center"/>
            </w:pPr>
            <w:r>
              <w:rPr>
                <w:rFonts w:ascii="Times New Roman" w:hAnsi="Times New Roman"/>
                <w:sz w:val="19"/>
              </w:rPr>
              <w:t>0.3576</w:t>
            </w:r>
          </w:p>
        </w:tc>
        <w:tc>
          <w:tcPr>
            <w:tcW w:type="dxa" w:w="1361"/>
            <w:shd w:val="clear" w:color="auto" w:fill="FFFFFF"/>
          </w:tcPr>
          <w:p>
            <w:pPr>
              <w:jc w:val="center"/>
            </w:pPr>
            <w:r>
              <w:rPr>
                <w:rFonts w:ascii="Times New Roman" w:hAnsi="Times New Roman"/>
                <w:sz w:val="19"/>
              </w:rPr>
              <w:t>0.1926</w:t>
            </w:r>
          </w:p>
        </w:tc>
        <w:tc>
          <w:tcPr>
            <w:tcW w:type="dxa" w:w="1361"/>
            <w:shd w:val="clear" w:color="auto" w:fill="FFFFFF"/>
          </w:tcPr>
          <w:p>
            <w:pPr>
              <w:jc w:val="center"/>
            </w:pPr>
            <w:r>
              <w:rPr>
                <w:rFonts w:ascii="Times New Roman" w:hAnsi="Times New Roman"/>
                <w:sz w:val="19"/>
              </w:rPr>
              <w:t>0.1533</w:t>
            </w:r>
          </w:p>
        </w:tc>
        <w:tc>
          <w:tcPr>
            <w:tcW w:type="dxa" w:w="1361"/>
            <w:shd w:val="clear" w:color="auto" w:fill="FFFFFF"/>
          </w:tcPr>
          <w:p>
            <w:pPr>
              <w:jc w:val="center"/>
            </w:pPr>
            <w:r>
              <w:rPr>
                <w:rFonts w:ascii="Times New Roman" w:hAnsi="Times New Roman"/>
                <w:sz w:val="19"/>
              </w:rPr>
              <w:t>0.4095</w:t>
            </w:r>
          </w:p>
        </w:tc>
        <w:tc>
          <w:tcPr>
            <w:tcW w:type="dxa" w:w="1361"/>
            <w:shd w:val="clear" w:color="auto" w:fill="FFFFFF"/>
          </w:tcPr>
          <w:p>
            <w:pPr>
              <w:jc w:val="center"/>
            </w:pPr>
            <w:r>
              <w:rPr>
                <w:rFonts w:ascii="Times New Roman" w:hAnsi="Times New Roman"/>
                <w:sz w:val="19"/>
              </w:rPr>
              <w:t>0.2247</w:t>
            </w:r>
          </w:p>
        </w:tc>
      </w:tr>
      <w:tr>
        <w:tc>
          <w:tcPr>
            <w:tcW w:type="dxa" w:w="2268"/>
            <w:shd w:val="clear" w:color="auto" w:fill="EBF0F7"/>
          </w:tcPr>
          <w:p>
            <w:pPr>
              <w:jc w:val="center"/>
            </w:pPr>
            <w:r>
              <w:rPr>
                <w:rFonts w:ascii="Times New Roman" w:hAnsi="Times New Roman"/>
                <w:sz w:val="19"/>
              </w:rPr>
              <w:t>چولگی</w:t>
            </w:r>
          </w:p>
        </w:tc>
        <w:tc>
          <w:tcPr>
            <w:tcW w:type="dxa" w:w="1361"/>
            <w:shd w:val="clear" w:color="auto" w:fill="EBF0F7"/>
          </w:tcPr>
          <w:p>
            <w:pPr>
              <w:jc w:val="center"/>
            </w:pPr>
            <w:r>
              <w:rPr>
                <w:rFonts w:ascii="Times New Roman" w:hAnsi="Times New Roman"/>
                <w:sz w:val="19"/>
              </w:rPr>
              <w:t>−7.49</w:t>
            </w:r>
          </w:p>
        </w:tc>
        <w:tc>
          <w:tcPr>
            <w:tcW w:type="dxa" w:w="1361"/>
            <w:shd w:val="clear" w:color="auto" w:fill="EBF0F7"/>
          </w:tcPr>
          <w:p>
            <w:pPr>
              <w:jc w:val="center"/>
            </w:pPr>
            <w:r>
              <w:rPr>
                <w:rFonts w:ascii="Times New Roman" w:hAnsi="Times New Roman"/>
                <w:sz w:val="19"/>
              </w:rPr>
              <w:t>−0.36</w:t>
            </w:r>
          </w:p>
        </w:tc>
        <w:tc>
          <w:tcPr>
            <w:tcW w:type="dxa" w:w="1361"/>
            <w:shd w:val="clear" w:color="auto" w:fill="EBF0F7"/>
          </w:tcPr>
          <w:p>
            <w:pPr>
              <w:jc w:val="center"/>
            </w:pPr>
            <w:r>
              <w:rPr>
                <w:rFonts w:ascii="Times New Roman" w:hAnsi="Times New Roman"/>
                <w:sz w:val="19"/>
              </w:rPr>
              <w:t>−0.26</w:t>
            </w:r>
          </w:p>
        </w:tc>
        <w:tc>
          <w:tcPr>
            <w:tcW w:type="dxa" w:w="1361"/>
            <w:shd w:val="clear" w:color="auto" w:fill="EBF0F7"/>
          </w:tcPr>
          <w:p>
            <w:pPr>
              <w:jc w:val="center"/>
            </w:pPr>
            <w:r>
              <w:rPr>
                <w:rFonts w:ascii="Times New Roman" w:hAnsi="Times New Roman"/>
                <w:sz w:val="19"/>
              </w:rPr>
              <w:t>−6.13</w:t>
            </w:r>
          </w:p>
        </w:tc>
        <w:tc>
          <w:tcPr>
            <w:tcW w:type="dxa" w:w="1361"/>
            <w:shd w:val="clear" w:color="auto" w:fill="EBF0F7"/>
          </w:tcPr>
          <w:p>
            <w:pPr>
              <w:jc w:val="center"/>
            </w:pPr>
            <w:r>
              <w:rPr>
                <w:rFonts w:ascii="Times New Roman" w:hAnsi="Times New Roman"/>
                <w:sz w:val="19"/>
              </w:rPr>
              <w:t>−0.91</w:t>
            </w:r>
          </w:p>
        </w:tc>
      </w:tr>
      <w:tr>
        <w:tc>
          <w:tcPr>
            <w:tcW w:type="dxa" w:w="2268"/>
            <w:shd w:val="clear" w:color="auto" w:fill="FFFFFF"/>
          </w:tcPr>
          <w:p>
            <w:pPr>
              <w:jc w:val="center"/>
            </w:pPr>
            <w:r>
              <w:rPr>
                <w:rFonts w:ascii="Times New Roman" w:hAnsi="Times New Roman"/>
                <w:sz w:val="19"/>
              </w:rPr>
              <w:t>کشیدگی مازاد</w:t>
            </w:r>
          </w:p>
        </w:tc>
        <w:tc>
          <w:tcPr>
            <w:tcW w:type="dxa" w:w="1361"/>
            <w:shd w:val="clear" w:color="auto" w:fill="FFFFFF"/>
          </w:tcPr>
          <w:p>
            <w:pPr>
              <w:jc w:val="center"/>
            </w:pPr>
            <w:r>
              <w:rPr>
                <w:rFonts w:ascii="Times New Roman" w:hAnsi="Times New Roman"/>
                <w:sz w:val="19"/>
              </w:rPr>
              <w:t>372</w:t>
            </w:r>
          </w:p>
        </w:tc>
        <w:tc>
          <w:tcPr>
            <w:tcW w:type="dxa" w:w="1361"/>
            <w:shd w:val="clear" w:color="auto" w:fill="FFFFFF"/>
          </w:tcPr>
          <w:p>
            <w:pPr>
              <w:jc w:val="center"/>
            </w:pPr>
            <w:r>
              <w:rPr>
                <w:rFonts w:ascii="Times New Roman" w:hAnsi="Times New Roman"/>
                <w:sz w:val="19"/>
              </w:rPr>
              <w:t>14.5</w:t>
            </w:r>
          </w:p>
        </w:tc>
        <w:tc>
          <w:tcPr>
            <w:tcW w:type="dxa" w:w="1361"/>
            <w:shd w:val="clear" w:color="auto" w:fill="FFFFFF"/>
          </w:tcPr>
          <w:p>
            <w:pPr>
              <w:jc w:val="center"/>
            </w:pPr>
            <w:r>
              <w:rPr>
                <w:rFonts w:ascii="Times New Roman" w:hAnsi="Times New Roman"/>
                <w:sz w:val="19"/>
              </w:rPr>
              <w:t>10.1</w:t>
            </w:r>
          </w:p>
        </w:tc>
        <w:tc>
          <w:tcPr>
            <w:tcW w:type="dxa" w:w="1361"/>
            <w:shd w:val="clear" w:color="auto" w:fill="FFFFFF"/>
          </w:tcPr>
          <w:p>
            <w:pPr>
              <w:jc w:val="center"/>
            </w:pPr>
            <w:r>
              <w:rPr>
                <w:rFonts w:ascii="Times New Roman" w:hAnsi="Times New Roman"/>
                <w:sz w:val="19"/>
              </w:rPr>
              <w:t>228</w:t>
            </w:r>
          </w:p>
        </w:tc>
        <w:tc>
          <w:tcPr>
            <w:tcW w:type="dxa" w:w="1361"/>
            <w:shd w:val="clear" w:color="auto" w:fill="FFFFFF"/>
          </w:tcPr>
          <w:p>
            <w:pPr>
              <w:jc w:val="center"/>
            </w:pPr>
            <w:r>
              <w:rPr>
                <w:rFonts w:ascii="Times New Roman" w:hAnsi="Times New Roman"/>
                <w:sz w:val="19"/>
              </w:rPr>
              <w:t>19.2</w:t>
            </w:r>
          </w:p>
        </w:tc>
      </w:tr>
      <w:tr>
        <w:tc>
          <w:tcPr>
            <w:tcW w:type="dxa" w:w="2268"/>
            <w:shd w:val="clear" w:color="auto" w:fill="EBF0F7"/>
          </w:tcPr>
          <w:p>
            <w:pPr>
              <w:jc w:val="center"/>
            </w:pPr>
            <w:r>
              <w:rPr>
                <w:rFonts w:ascii="Times New Roman" w:hAnsi="Times New Roman"/>
                <w:sz w:val="19"/>
              </w:rPr>
              <w:t># outlier |z|≥6</w:t>
            </w:r>
          </w:p>
        </w:tc>
        <w:tc>
          <w:tcPr>
            <w:tcW w:type="dxa" w:w="1361"/>
            <w:shd w:val="clear" w:color="auto" w:fill="EBF0F7"/>
          </w:tcPr>
          <w:p>
            <w:pPr>
              <w:jc w:val="center"/>
            </w:pPr>
            <w:r>
              <w:rPr>
                <w:rFonts w:ascii="Times New Roman" w:hAnsi="Times New Roman"/>
                <w:sz w:val="19"/>
              </w:rPr>
              <w:t>35</w:t>
            </w:r>
          </w:p>
        </w:tc>
        <w:tc>
          <w:tcPr>
            <w:tcW w:type="dxa" w:w="1361"/>
            <w:shd w:val="clear" w:color="auto" w:fill="EBF0F7"/>
          </w:tcPr>
          <w:p>
            <w:pPr>
              <w:jc w:val="center"/>
            </w:pPr>
            <w:r>
              <w:rPr>
                <w:rFonts w:ascii="Times New Roman" w:hAnsi="Times New Roman"/>
                <w:sz w:val="19"/>
              </w:rPr>
              <w:t>4</w:t>
            </w:r>
          </w:p>
        </w:tc>
        <w:tc>
          <w:tcPr>
            <w:tcW w:type="dxa" w:w="1361"/>
            <w:shd w:val="clear" w:color="auto" w:fill="EBF0F7"/>
          </w:tcPr>
          <w:p>
            <w:pPr>
              <w:jc w:val="center"/>
            </w:pPr>
            <w:r>
              <w:rPr>
                <w:rFonts w:ascii="Times New Roman" w:hAnsi="Times New Roman"/>
                <w:sz w:val="19"/>
              </w:rPr>
              <w:t>8</w:t>
            </w:r>
          </w:p>
        </w:tc>
        <w:tc>
          <w:tcPr>
            <w:tcW w:type="dxa" w:w="1361"/>
            <w:shd w:val="clear" w:color="auto" w:fill="EBF0F7"/>
          </w:tcPr>
          <w:p>
            <w:pPr>
              <w:jc w:val="center"/>
            </w:pPr>
            <w:r>
              <w:rPr>
                <w:rFonts w:ascii="Times New Roman" w:hAnsi="Times New Roman"/>
                <w:sz w:val="19"/>
              </w:rPr>
              <w:t>35</w:t>
            </w:r>
          </w:p>
        </w:tc>
        <w:tc>
          <w:tcPr>
            <w:tcW w:type="dxa" w:w="1361"/>
            <w:shd w:val="clear" w:color="auto" w:fill="EBF0F7"/>
          </w:tcPr>
          <w:p>
            <w:pPr>
              <w:jc w:val="center"/>
            </w:pPr>
            <w:r>
              <w:rPr>
                <w:rFonts w:ascii="Times New Roman" w:hAnsi="Times New Roman"/>
                <w:sz w:val="19"/>
              </w:rPr>
              <w:t>4</w:t>
            </w:r>
          </w:p>
        </w:tc>
      </w:tr>
    </w:tbl>
    <w:p/>
    <w:p>
      <w:pPr>
        <w:spacing w:before="40" w:after="200"/>
        <w:jc w:val="center"/>
      </w:pPr>
      <w:r>
        <w:rPr>
          <w:rFonts w:ascii="Times New Roman" w:hAnsi="Times New Roman"/>
          <w:b/>
          <w:sz w:val="20"/>
        </w:rPr>
        <w:t xml:space="preserve">جدول 4.5 — </w:t>
      </w:r>
      <w:r>
        <w:rPr>
          <w:rFonts w:ascii="Times New Roman" w:hAnsi="Times New Roman"/>
          <w:i/>
          <w:sz w:val="20"/>
        </w:rPr>
        <w:t>آمار بازده‌های لگاریتمی ترکیبی دارایی‌های اصلی</w:t>
      </w:r>
    </w:p>
    <w:p>
      <w:pPr>
        <w:spacing w:before="120"/>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hist_ret_WTI.png"/>
                    <pic:cNvPicPr/>
                  </pic:nvPicPr>
                  <pic:blipFill>
                    <a:blip r:embed="rId12"/>
                    <a:stretch>
                      <a:fillRect/>
                    </a:stretch>
                  </pic:blipFill>
                  <pic:spPr>
                    <a:xfrm>
                      <a:off x="0" y="0"/>
                      <a:ext cx="5040000" cy="3780000"/>
                    </a:xfrm>
                    <a:prstGeom prst="rect"/>
                  </pic:spPr>
                </pic:pic>
              </a:graphicData>
            </a:graphic>
          </wp:inline>
        </w:drawing>
      </w:r>
    </w:p>
    <w:p>
      <w:pPr>
        <w:spacing w:before="40" w:after="200"/>
        <w:jc w:val="center"/>
      </w:pPr>
      <w:r>
        <w:rPr>
          <w:rFonts w:ascii="Times New Roman" w:hAnsi="Times New Roman"/>
          <w:b/>
          <w:sz w:val="20"/>
        </w:rPr>
        <w:t xml:space="preserve">شکل 4.4 — </w:t>
      </w:r>
      <w:r>
        <w:rPr>
          <w:rFonts w:ascii="Times New Roman" w:hAnsi="Times New Roman"/>
          <w:i/>
          <w:sz w:val="20"/>
        </w:rPr>
        <w:t>توزیع بازده‌های روزانه WTI — دنباله سنگین چپ و رویداد منفی 2020</w:t>
      </w:r>
    </w:p>
    <w:p>
      <w:pPr>
        <w:spacing w:before="12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hist_ret_Brent.png"/>
                    <pic:cNvPicPr/>
                  </pic:nvPicPr>
                  <pic:blipFill>
                    <a:blip r:embed="rId13"/>
                    <a:stretch>
                      <a:fillRect/>
                    </a:stretch>
                  </pic:blipFill>
                  <pic:spPr>
                    <a:xfrm>
                      <a:off x="0" y="0"/>
                      <a:ext cx="5040000" cy="3780000"/>
                    </a:xfrm>
                    <a:prstGeom prst="rect"/>
                  </pic:spPr>
                </pic:pic>
              </a:graphicData>
            </a:graphic>
          </wp:inline>
        </w:drawing>
      </w:r>
    </w:p>
    <w:p>
      <w:pPr>
        <w:spacing w:before="40" w:after="200"/>
        <w:jc w:val="center"/>
      </w:pPr>
      <w:r>
        <w:rPr>
          <w:rFonts w:ascii="Times New Roman" w:hAnsi="Times New Roman"/>
          <w:b/>
          <w:sz w:val="20"/>
        </w:rPr>
        <w:t xml:space="preserve">شکل 4.5 — </w:t>
      </w:r>
      <w:r>
        <w:rPr>
          <w:rFonts w:ascii="Times New Roman" w:hAnsi="Times New Roman"/>
          <w:i/>
          <w:sz w:val="20"/>
        </w:rPr>
        <w:t>توزیع بازده‌های روزانه Brent — fat-tail با کشیدگی 14.5</w:t>
      </w:r>
    </w:p>
    <w:p>
      <w:pPr>
        <w:spacing w:before="120"/>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hist_ret_OPEC.png"/>
                    <pic:cNvPicPr/>
                  </pic:nvPicPr>
                  <pic:blipFill>
                    <a:blip r:embed="rId14"/>
                    <a:stretch>
                      <a:fillRect/>
                    </a:stretch>
                  </pic:blipFill>
                  <pic:spPr>
                    <a:xfrm>
                      <a:off x="0" y="0"/>
                      <a:ext cx="5040000" cy="3780000"/>
                    </a:xfrm>
                    <a:prstGeom prst="rect"/>
                  </pic:spPr>
                </pic:pic>
              </a:graphicData>
            </a:graphic>
          </wp:inline>
        </w:drawing>
      </w:r>
    </w:p>
    <w:p>
      <w:pPr>
        <w:spacing w:before="40" w:after="200"/>
        <w:jc w:val="center"/>
      </w:pPr>
      <w:r>
        <w:rPr>
          <w:rFonts w:ascii="Times New Roman" w:hAnsi="Times New Roman"/>
          <w:b/>
          <w:sz w:val="20"/>
        </w:rPr>
        <w:t xml:space="preserve">شکل 4.6 — </w:t>
      </w:r>
      <w:r>
        <w:rPr>
          <w:rFonts w:ascii="Times New Roman" w:hAnsi="Times New Roman"/>
          <w:i/>
          <w:sz w:val="20"/>
        </w:rPr>
        <w:t>توزیع بازده‌های روزانه OPEC Basket</w:t>
      </w:r>
    </w:p>
    <w:p>
      <w:pPr>
        <w:pStyle w:val="Heading3"/>
      </w:pPr>
      <w:r>
        <w:t>4.2.4  ساختار اتوکورلاسیون</w:t>
      </w:r>
    </w:p>
    <w:p>
      <w:pPr>
        <w:ind w:firstLine="425"/>
        <w:jc w:val="both"/>
      </w:pPr>
      <w:r>
        <w:t>شکل‌های ۴.۷ تا ۴.۹ نمودارهای ACF و PACF بازده‌های لگاریتمی را نشان می‌دهند. برای WTI اتوکورلاسیون معنادار در lag=1 مشاهده می‌شود که ساختار زمانی کوتاه‌مدت را تأیید می‌کند. این ساختار انگیزه‌ای برای استفاده از مدل‌های پویا مانند SAC نسبت به مدل‌های ایستا فراهم می‌آورد.</w:t>
      </w:r>
    </w:p>
    <w:p>
      <w:pPr>
        <w:spacing w:before="120"/>
        <w:jc w:val="center"/>
      </w:pPr>
      <w:r>
        <w:drawing>
          <wp:inline xmlns:a="http://schemas.openxmlformats.org/drawingml/2006/main" xmlns:pic="http://schemas.openxmlformats.org/drawingml/2006/picture">
            <wp:extent cx="5400000" cy="2160000"/>
            <wp:docPr id="7" name="Picture 7"/>
            <wp:cNvGraphicFramePr>
              <a:graphicFrameLocks noChangeAspect="1"/>
            </wp:cNvGraphicFramePr>
            <a:graphic>
              <a:graphicData uri="http://schemas.openxmlformats.org/drawingml/2006/picture">
                <pic:pic>
                  <pic:nvPicPr>
                    <pic:cNvPr id="0" name="acf_pacf_ret_WTI.png"/>
                    <pic:cNvPicPr/>
                  </pic:nvPicPr>
                  <pic:blipFill>
                    <a:blip r:embed="rId15"/>
                    <a:stretch>
                      <a:fillRect/>
                    </a:stretch>
                  </pic:blipFill>
                  <pic:spPr>
                    <a:xfrm>
                      <a:off x="0" y="0"/>
                      <a:ext cx="5400000" cy="2160000"/>
                    </a:xfrm>
                    <a:prstGeom prst="rect"/>
                  </pic:spPr>
                </pic:pic>
              </a:graphicData>
            </a:graphic>
          </wp:inline>
        </w:drawing>
      </w:r>
    </w:p>
    <w:p>
      <w:pPr>
        <w:spacing w:before="40" w:after="200"/>
        <w:jc w:val="center"/>
      </w:pPr>
      <w:r>
        <w:rPr>
          <w:rFonts w:ascii="Times New Roman" w:hAnsi="Times New Roman"/>
          <w:b/>
          <w:sz w:val="20"/>
        </w:rPr>
        <w:t xml:space="preserve">شکل 4.7 — </w:t>
      </w:r>
      <w:r>
        <w:rPr>
          <w:rFonts w:ascii="Times New Roman" w:hAnsi="Times New Roman"/>
          <w:i/>
          <w:sz w:val="20"/>
        </w:rPr>
        <w:t>ACF و PACF بازده‌های WTI (30 lag) — اتوکورلاسیون معنادار در lag=1</w:t>
      </w:r>
    </w:p>
    <w:p>
      <w:pPr>
        <w:spacing w:before="120"/>
        <w:jc w:val="center"/>
      </w:pPr>
      <w:r>
        <w:drawing>
          <wp:inline xmlns:a="http://schemas.openxmlformats.org/drawingml/2006/main" xmlns:pic="http://schemas.openxmlformats.org/drawingml/2006/picture">
            <wp:extent cx="5400000" cy="2160000"/>
            <wp:docPr id="8" name="Picture 8"/>
            <wp:cNvGraphicFramePr>
              <a:graphicFrameLocks noChangeAspect="1"/>
            </wp:cNvGraphicFramePr>
            <a:graphic>
              <a:graphicData uri="http://schemas.openxmlformats.org/drawingml/2006/picture">
                <pic:pic>
                  <pic:nvPicPr>
                    <pic:cNvPr id="0" name="acf_pacf_ret_Brent.png"/>
                    <pic:cNvPicPr/>
                  </pic:nvPicPr>
                  <pic:blipFill>
                    <a:blip r:embed="rId16"/>
                    <a:stretch>
                      <a:fillRect/>
                    </a:stretch>
                  </pic:blipFill>
                  <pic:spPr>
                    <a:xfrm>
                      <a:off x="0" y="0"/>
                      <a:ext cx="5400000" cy="2160000"/>
                    </a:xfrm>
                    <a:prstGeom prst="rect"/>
                  </pic:spPr>
                </pic:pic>
              </a:graphicData>
            </a:graphic>
          </wp:inline>
        </w:drawing>
      </w:r>
    </w:p>
    <w:p>
      <w:pPr>
        <w:spacing w:before="40" w:after="200"/>
        <w:jc w:val="center"/>
      </w:pPr>
      <w:r>
        <w:rPr>
          <w:rFonts w:ascii="Times New Roman" w:hAnsi="Times New Roman"/>
          <w:b/>
          <w:sz w:val="20"/>
        </w:rPr>
        <w:t xml:space="preserve">شکل 4.8 — </w:t>
      </w:r>
      <w:r>
        <w:rPr>
          <w:rFonts w:ascii="Times New Roman" w:hAnsi="Times New Roman"/>
          <w:i/>
          <w:sz w:val="20"/>
        </w:rPr>
        <w:t>ACF و PACF بازده‌های Brent</w:t>
      </w:r>
    </w:p>
    <w:p>
      <w:pPr>
        <w:spacing w:before="120"/>
        <w:jc w:val="center"/>
      </w:pPr>
      <w:r>
        <w:drawing>
          <wp:inline xmlns:a="http://schemas.openxmlformats.org/drawingml/2006/main" xmlns:pic="http://schemas.openxmlformats.org/drawingml/2006/picture">
            <wp:extent cx="5400000" cy="2160000"/>
            <wp:docPr id="9" name="Picture 9"/>
            <wp:cNvGraphicFramePr>
              <a:graphicFrameLocks noChangeAspect="1"/>
            </wp:cNvGraphicFramePr>
            <a:graphic>
              <a:graphicData uri="http://schemas.openxmlformats.org/drawingml/2006/picture">
                <pic:pic>
                  <pic:nvPicPr>
                    <pic:cNvPr id="0" name="acf_pacf_ret_OPEC.png"/>
                    <pic:cNvPicPr/>
                  </pic:nvPicPr>
                  <pic:blipFill>
                    <a:blip r:embed="rId17"/>
                    <a:stretch>
                      <a:fillRect/>
                    </a:stretch>
                  </pic:blipFill>
                  <pic:spPr>
                    <a:xfrm>
                      <a:off x="0" y="0"/>
                      <a:ext cx="5400000" cy="2160000"/>
                    </a:xfrm>
                    <a:prstGeom prst="rect"/>
                  </pic:spPr>
                </pic:pic>
              </a:graphicData>
            </a:graphic>
          </wp:inline>
        </w:drawing>
      </w:r>
    </w:p>
    <w:p>
      <w:pPr>
        <w:spacing w:before="40" w:after="200"/>
        <w:jc w:val="center"/>
      </w:pPr>
      <w:r>
        <w:rPr>
          <w:rFonts w:ascii="Times New Roman" w:hAnsi="Times New Roman"/>
          <w:b/>
          <w:sz w:val="20"/>
        </w:rPr>
        <w:t xml:space="preserve">شکل 4.9 — </w:t>
      </w:r>
      <w:r>
        <w:rPr>
          <w:rFonts w:ascii="Times New Roman" w:hAnsi="Times New Roman"/>
          <w:i/>
          <w:sz w:val="20"/>
        </w:rPr>
        <w:t>ACF و PACF بازده‌های OPEC Basket</w:t>
      </w:r>
    </w:p>
    <w:p>
      <w:pPr>
        <w:pStyle w:val="Heading3"/>
      </w:pPr>
      <w:r>
        <w:t>4.2.5  بررسی داده‌های مفقود</w:t>
      </w:r>
    </w:p>
    <w:p>
      <w:pPr>
        <w:ind w:firstLine="425"/>
        <w:jc w:val="both"/>
      </w:pPr>
      <w:r>
        <w:t>جدول ۴.۶ نرخ missing values را برای هر دارایی نشان می‌دهد. مهم‌ترین علت missing، تفاوت تعطیلات رسمی بین بازارهای مختلف است. OPEC Basket با شروع از ۲۰۰۳ بالاترین نرخ missing کل (۴۴.۷٪) را دارد که ناشی از عدم وجود داده در دوره ۱۹۸۶–۲۰۰۳ است.</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84"/>
            <w:shd w:val="clear" w:color="auto" w:fill="1F497D"/>
            <w:vAlign w:val="center"/>
          </w:tcPr>
          <w:p>
            <w:pPr>
              <w:jc w:val="center"/>
            </w:pPr>
            <w:r>
              <w:rPr>
                <w:rFonts w:ascii="Times New Roman" w:hAnsi="Times New Roman"/>
                <w:b/>
                <w:color w:val="FFFFFF"/>
                <w:sz w:val="19"/>
              </w:rPr>
              <w:t>دارایی</w:t>
            </w:r>
          </w:p>
        </w:tc>
        <w:tc>
          <w:tcPr>
            <w:tcW w:type="dxa" w:w="1417"/>
            <w:shd w:val="clear" w:color="auto" w:fill="1F497D"/>
            <w:vAlign w:val="center"/>
          </w:tcPr>
          <w:p>
            <w:pPr>
              <w:jc w:val="center"/>
            </w:pPr>
            <w:r>
              <w:rPr>
                <w:rFonts w:ascii="Times New Roman" w:hAnsi="Times New Roman"/>
                <w:b/>
                <w:color w:val="FFFFFF"/>
                <w:sz w:val="19"/>
              </w:rPr>
              <w:t>n کل</w:t>
            </w:r>
          </w:p>
        </w:tc>
        <w:tc>
          <w:tcPr>
            <w:tcW w:type="dxa" w:w="1417"/>
            <w:shd w:val="clear" w:color="auto" w:fill="1F497D"/>
            <w:vAlign w:val="center"/>
          </w:tcPr>
          <w:p>
            <w:pPr>
              <w:jc w:val="center"/>
            </w:pPr>
            <w:r>
              <w:rPr>
                <w:rFonts w:ascii="Times New Roman" w:hAnsi="Times New Roman"/>
                <w:b/>
                <w:color w:val="FFFFFF"/>
                <w:sz w:val="19"/>
              </w:rPr>
              <w:t>n موجود</w:t>
            </w:r>
          </w:p>
        </w:tc>
        <w:tc>
          <w:tcPr>
            <w:tcW w:type="dxa" w:w="1417"/>
            <w:shd w:val="clear" w:color="auto" w:fill="1F497D"/>
            <w:vAlign w:val="center"/>
          </w:tcPr>
          <w:p>
            <w:pPr>
              <w:jc w:val="center"/>
            </w:pPr>
            <w:r>
              <w:rPr>
                <w:rFonts w:ascii="Times New Roman" w:hAnsi="Times New Roman"/>
                <w:b/>
                <w:color w:val="FFFFFF"/>
                <w:sz w:val="19"/>
              </w:rPr>
              <w:t>missing %</w:t>
            </w:r>
          </w:p>
        </w:tc>
        <w:tc>
          <w:tcPr>
            <w:tcW w:type="dxa" w:w="2835"/>
            <w:shd w:val="clear" w:color="auto" w:fill="1F497D"/>
            <w:vAlign w:val="center"/>
          </w:tcPr>
          <w:p>
            <w:pPr>
              <w:jc w:val="center"/>
            </w:pPr>
            <w:r>
              <w:rPr>
                <w:rFonts w:ascii="Times New Roman" w:hAnsi="Times New Roman"/>
                <w:b/>
                <w:color w:val="FFFFFF"/>
                <w:sz w:val="19"/>
              </w:rPr>
              <w:t>بازه زمانی</w:t>
            </w:r>
          </w:p>
        </w:tc>
      </w:tr>
      <w:tr>
        <w:tc>
          <w:tcPr>
            <w:tcW w:type="dxa" w:w="1984"/>
            <w:shd w:val="clear" w:color="auto" w:fill="EBF0F7"/>
          </w:tcPr>
          <w:p>
            <w:pPr>
              <w:jc w:val="center"/>
            </w:pPr>
            <w:r>
              <w:rPr>
                <w:rFonts w:ascii="Times New Roman" w:hAnsi="Times New Roman"/>
                <w:sz w:val="19"/>
              </w:rPr>
              <w:t>WTI_SPOT</w:t>
            </w:r>
          </w:p>
        </w:tc>
        <w:tc>
          <w:tcPr>
            <w:tcW w:type="dxa" w:w="1417"/>
            <w:shd w:val="clear" w:color="auto" w:fill="EBF0F7"/>
          </w:tcPr>
          <w:p>
            <w:pPr>
              <w:jc w:val="center"/>
            </w:pPr>
            <w:r>
              <w:rPr>
                <w:rFonts w:ascii="Times New Roman" w:hAnsi="Times New Roman"/>
                <w:sz w:val="19"/>
              </w:rPr>
              <w:t>10,438</w:t>
            </w:r>
          </w:p>
        </w:tc>
        <w:tc>
          <w:tcPr>
            <w:tcW w:type="dxa" w:w="1417"/>
            <w:shd w:val="clear" w:color="auto" w:fill="EBF0F7"/>
          </w:tcPr>
          <w:p>
            <w:pPr>
              <w:jc w:val="center"/>
            </w:pPr>
            <w:r>
              <w:rPr>
                <w:rFonts w:ascii="Times New Roman" w:hAnsi="Times New Roman"/>
                <w:sz w:val="19"/>
              </w:rPr>
              <w:t>10,438</w:t>
            </w:r>
          </w:p>
        </w:tc>
        <w:tc>
          <w:tcPr>
            <w:tcW w:type="dxa" w:w="1417"/>
            <w:shd w:val="clear" w:color="auto" w:fill="EBF0F7"/>
          </w:tcPr>
          <w:p>
            <w:pPr>
              <w:jc w:val="center"/>
            </w:pPr>
            <w:r>
              <w:rPr>
                <w:rFonts w:ascii="Times New Roman" w:hAnsi="Times New Roman"/>
                <w:sz w:val="19"/>
              </w:rPr>
              <w:t>0.0%</w:t>
            </w:r>
          </w:p>
        </w:tc>
        <w:tc>
          <w:tcPr>
            <w:tcW w:type="dxa" w:w="2835"/>
            <w:shd w:val="clear" w:color="auto" w:fill="EBF0F7"/>
          </w:tcPr>
          <w:p>
            <w:pPr>
              <w:jc w:val="center"/>
            </w:pPr>
            <w:r>
              <w:rPr>
                <w:rFonts w:ascii="Times New Roman" w:hAnsi="Times New Roman"/>
                <w:sz w:val="19"/>
              </w:rPr>
              <w:t>1986–2025</w:t>
            </w:r>
          </w:p>
        </w:tc>
      </w:tr>
      <w:tr>
        <w:tc>
          <w:tcPr>
            <w:tcW w:type="dxa" w:w="1984"/>
            <w:shd w:val="clear" w:color="auto" w:fill="FFFFFF"/>
          </w:tcPr>
          <w:p>
            <w:pPr>
              <w:jc w:val="center"/>
            </w:pPr>
            <w:r>
              <w:rPr>
                <w:rFonts w:ascii="Times New Roman" w:hAnsi="Times New Roman"/>
                <w:sz w:val="19"/>
              </w:rPr>
              <w:t>BRENT_SPOT</w:t>
            </w:r>
          </w:p>
        </w:tc>
        <w:tc>
          <w:tcPr>
            <w:tcW w:type="dxa" w:w="1417"/>
            <w:shd w:val="clear" w:color="auto" w:fill="FFFFFF"/>
          </w:tcPr>
          <w:p>
            <w:pPr>
              <w:jc w:val="center"/>
            </w:pPr>
            <w:r>
              <w:rPr>
                <w:rFonts w:ascii="Times New Roman" w:hAnsi="Times New Roman"/>
                <w:sz w:val="19"/>
              </w:rPr>
              <w:t>10,438</w:t>
            </w:r>
          </w:p>
        </w:tc>
        <w:tc>
          <w:tcPr>
            <w:tcW w:type="dxa" w:w="1417"/>
            <w:shd w:val="clear" w:color="auto" w:fill="FFFFFF"/>
          </w:tcPr>
          <w:p>
            <w:pPr>
              <w:jc w:val="center"/>
            </w:pPr>
            <w:r>
              <w:rPr>
                <w:rFonts w:ascii="Times New Roman" w:hAnsi="Times New Roman"/>
                <w:sz w:val="19"/>
              </w:rPr>
              <w:t>10,101</w:t>
            </w:r>
          </w:p>
        </w:tc>
        <w:tc>
          <w:tcPr>
            <w:tcW w:type="dxa" w:w="1417"/>
            <w:shd w:val="clear" w:color="auto" w:fill="FFFFFF"/>
          </w:tcPr>
          <w:p>
            <w:pPr>
              <w:jc w:val="center"/>
            </w:pPr>
            <w:r>
              <w:rPr>
                <w:rFonts w:ascii="Times New Roman" w:hAnsi="Times New Roman"/>
                <w:sz w:val="19"/>
              </w:rPr>
              <w:t>3.2%</w:t>
            </w:r>
          </w:p>
        </w:tc>
        <w:tc>
          <w:tcPr>
            <w:tcW w:type="dxa" w:w="2835"/>
            <w:shd w:val="clear" w:color="auto" w:fill="FFFFFF"/>
          </w:tcPr>
          <w:p>
            <w:pPr>
              <w:jc w:val="center"/>
            </w:pPr>
            <w:r>
              <w:rPr>
                <w:rFonts w:ascii="Times New Roman" w:hAnsi="Times New Roman"/>
                <w:sz w:val="19"/>
              </w:rPr>
              <w:t>1987–2025</w:t>
            </w:r>
          </w:p>
        </w:tc>
      </w:tr>
      <w:tr>
        <w:tc>
          <w:tcPr>
            <w:tcW w:type="dxa" w:w="1984"/>
            <w:shd w:val="clear" w:color="auto" w:fill="EBF0F7"/>
          </w:tcPr>
          <w:p>
            <w:pPr>
              <w:jc w:val="center"/>
            </w:pPr>
            <w:r>
              <w:rPr>
                <w:rFonts w:ascii="Times New Roman" w:hAnsi="Times New Roman"/>
                <w:sz w:val="19"/>
              </w:rPr>
              <w:t>OPEC_BASKET</w:t>
            </w:r>
          </w:p>
        </w:tc>
        <w:tc>
          <w:tcPr>
            <w:tcW w:type="dxa" w:w="1417"/>
            <w:shd w:val="clear" w:color="auto" w:fill="EBF0F7"/>
          </w:tcPr>
          <w:p>
            <w:pPr>
              <w:jc w:val="center"/>
            </w:pPr>
            <w:r>
              <w:rPr>
                <w:rFonts w:ascii="Times New Roman" w:hAnsi="Times New Roman"/>
                <w:sz w:val="19"/>
              </w:rPr>
              <w:t>10,438</w:t>
            </w:r>
          </w:p>
        </w:tc>
        <w:tc>
          <w:tcPr>
            <w:tcW w:type="dxa" w:w="1417"/>
            <w:shd w:val="clear" w:color="auto" w:fill="EBF0F7"/>
          </w:tcPr>
          <w:p>
            <w:pPr>
              <w:jc w:val="center"/>
            </w:pPr>
            <w:r>
              <w:rPr>
                <w:rFonts w:ascii="Times New Roman" w:hAnsi="Times New Roman"/>
                <w:sz w:val="19"/>
              </w:rPr>
              <w:t>5,770</w:t>
            </w:r>
          </w:p>
        </w:tc>
        <w:tc>
          <w:tcPr>
            <w:tcW w:type="dxa" w:w="1417"/>
            <w:shd w:val="clear" w:color="auto" w:fill="EBF0F7"/>
          </w:tcPr>
          <w:p>
            <w:pPr>
              <w:jc w:val="center"/>
            </w:pPr>
            <w:r>
              <w:rPr>
                <w:rFonts w:ascii="Times New Roman" w:hAnsi="Times New Roman"/>
                <w:sz w:val="19"/>
              </w:rPr>
              <w:t>44.7%</w:t>
            </w:r>
          </w:p>
        </w:tc>
        <w:tc>
          <w:tcPr>
            <w:tcW w:type="dxa" w:w="2835"/>
            <w:shd w:val="clear" w:color="auto" w:fill="EBF0F7"/>
          </w:tcPr>
          <w:p>
            <w:pPr>
              <w:jc w:val="center"/>
            </w:pPr>
            <w:r>
              <w:rPr>
                <w:rFonts w:ascii="Times New Roman" w:hAnsi="Times New Roman"/>
                <w:sz w:val="19"/>
              </w:rPr>
              <w:t>2003–2025</w:t>
            </w:r>
          </w:p>
        </w:tc>
      </w:tr>
      <w:tr>
        <w:tc>
          <w:tcPr>
            <w:tcW w:type="dxa" w:w="1984"/>
            <w:shd w:val="clear" w:color="auto" w:fill="FFFFFF"/>
          </w:tcPr>
          <w:p>
            <w:pPr>
              <w:jc w:val="center"/>
            </w:pPr>
            <w:r>
              <w:rPr>
                <w:rFonts w:ascii="Times New Roman" w:hAnsi="Times New Roman"/>
                <w:sz w:val="19"/>
              </w:rPr>
              <w:t>CL1 (آتی)</w:t>
            </w:r>
          </w:p>
        </w:tc>
        <w:tc>
          <w:tcPr>
            <w:tcW w:type="dxa" w:w="1417"/>
            <w:shd w:val="clear" w:color="auto" w:fill="FFFFFF"/>
          </w:tcPr>
          <w:p>
            <w:pPr>
              <w:jc w:val="center"/>
            </w:pPr>
            <w:r>
              <w:rPr>
                <w:rFonts w:ascii="Times New Roman" w:hAnsi="Times New Roman"/>
                <w:sz w:val="19"/>
              </w:rPr>
              <w:t>10,438</w:t>
            </w:r>
          </w:p>
        </w:tc>
        <w:tc>
          <w:tcPr>
            <w:tcW w:type="dxa" w:w="1417"/>
            <w:shd w:val="clear" w:color="auto" w:fill="FFFFFF"/>
          </w:tcPr>
          <w:p>
            <w:pPr>
              <w:jc w:val="center"/>
            </w:pPr>
            <w:r>
              <w:rPr>
                <w:rFonts w:ascii="Times New Roman" w:hAnsi="Times New Roman"/>
                <w:sz w:val="19"/>
              </w:rPr>
              <w:t>9,871</w:t>
            </w:r>
          </w:p>
        </w:tc>
        <w:tc>
          <w:tcPr>
            <w:tcW w:type="dxa" w:w="1417"/>
            <w:shd w:val="clear" w:color="auto" w:fill="FFFFFF"/>
          </w:tcPr>
          <w:p>
            <w:pPr>
              <w:jc w:val="center"/>
            </w:pPr>
            <w:r>
              <w:rPr>
                <w:rFonts w:ascii="Times New Roman" w:hAnsi="Times New Roman"/>
                <w:sz w:val="19"/>
              </w:rPr>
              <w:t>5.4%</w:t>
            </w:r>
          </w:p>
        </w:tc>
        <w:tc>
          <w:tcPr>
            <w:tcW w:type="dxa" w:w="2835"/>
            <w:shd w:val="clear" w:color="auto" w:fill="FFFFFF"/>
          </w:tcPr>
          <w:p>
            <w:pPr>
              <w:jc w:val="center"/>
            </w:pPr>
            <w:r>
              <w:rPr>
                <w:rFonts w:ascii="Times New Roman" w:hAnsi="Times New Roman"/>
                <w:sz w:val="19"/>
              </w:rPr>
              <w:t>1986–2025</w:t>
            </w:r>
          </w:p>
        </w:tc>
      </w:tr>
      <w:tr>
        <w:tc>
          <w:tcPr>
            <w:tcW w:type="dxa" w:w="1984"/>
            <w:shd w:val="clear" w:color="auto" w:fill="EBF0F7"/>
          </w:tcPr>
          <w:p>
            <w:pPr>
              <w:jc w:val="center"/>
            </w:pPr>
            <w:r>
              <w:rPr>
                <w:rFonts w:ascii="Times New Roman" w:hAnsi="Times New Roman"/>
                <w:sz w:val="19"/>
              </w:rPr>
              <w:t>CL2 (آتی)</w:t>
            </w:r>
          </w:p>
        </w:tc>
        <w:tc>
          <w:tcPr>
            <w:tcW w:type="dxa" w:w="1417"/>
            <w:shd w:val="clear" w:color="auto" w:fill="EBF0F7"/>
          </w:tcPr>
          <w:p>
            <w:pPr>
              <w:jc w:val="center"/>
            </w:pPr>
            <w:r>
              <w:rPr>
                <w:rFonts w:ascii="Times New Roman" w:hAnsi="Times New Roman"/>
                <w:sz w:val="19"/>
              </w:rPr>
              <w:t>10,438</w:t>
            </w:r>
          </w:p>
        </w:tc>
        <w:tc>
          <w:tcPr>
            <w:tcW w:type="dxa" w:w="1417"/>
            <w:shd w:val="clear" w:color="auto" w:fill="EBF0F7"/>
          </w:tcPr>
          <w:p>
            <w:pPr>
              <w:jc w:val="center"/>
            </w:pPr>
            <w:r>
              <w:rPr>
                <w:rFonts w:ascii="Times New Roman" w:hAnsi="Times New Roman"/>
                <w:sz w:val="19"/>
              </w:rPr>
              <w:t>9,514</w:t>
            </w:r>
          </w:p>
        </w:tc>
        <w:tc>
          <w:tcPr>
            <w:tcW w:type="dxa" w:w="1417"/>
            <w:shd w:val="clear" w:color="auto" w:fill="EBF0F7"/>
          </w:tcPr>
          <w:p>
            <w:pPr>
              <w:jc w:val="center"/>
            </w:pPr>
            <w:r>
              <w:rPr>
                <w:rFonts w:ascii="Times New Roman" w:hAnsi="Times New Roman"/>
                <w:sz w:val="19"/>
              </w:rPr>
              <w:t>8.8%</w:t>
            </w:r>
          </w:p>
        </w:tc>
        <w:tc>
          <w:tcPr>
            <w:tcW w:type="dxa" w:w="2835"/>
            <w:shd w:val="clear" w:color="auto" w:fill="EBF0F7"/>
          </w:tcPr>
          <w:p>
            <w:pPr>
              <w:jc w:val="center"/>
            </w:pPr>
            <w:r>
              <w:rPr>
                <w:rFonts w:ascii="Times New Roman" w:hAnsi="Times New Roman"/>
                <w:sz w:val="19"/>
              </w:rPr>
              <w:t>1986–2025</w:t>
            </w:r>
          </w:p>
        </w:tc>
      </w:tr>
    </w:tbl>
    <w:p/>
    <w:p>
      <w:pPr>
        <w:spacing w:before="40" w:after="200"/>
        <w:jc w:val="center"/>
      </w:pPr>
      <w:r>
        <w:rPr>
          <w:rFonts w:ascii="Times New Roman" w:hAnsi="Times New Roman"/>
          <w:b/>
          <w:sz w:val="20"/>
        </w:rPr>
        <w:t xml:space="preserve">جدول 4.6 — </w:t>
      </w:r>
      <w:r>
        <w:rPr>
          <w:rFonts w:ascii="Times New Roman" w:hAnsi="Times New Roman"/>
          <w:i/>
          <w:sz w:val="20"/>
        </w:rPr>
        <w:t>نرخ داده‌های مفقود به تفکیک دارایی</w:t>
      </w:r>
    </w:p>
    <w:p>
      <w:pPr>
        <w:spacing w:before="120"/>
        <w:jc w:val="center"/>
      </w:pPr>
      <w:r>
        <w:drawing>
          <wp:inline xmlns:a="http://schemas.openxmlformats.org/drawingml/2006/main" xmlns:pic="http://schemas.openxmlformats.org/drawingml/2006/picture">
            <wp:extent cx="5400000" cy="3937500"/>
            <wp:docPr id="10" name="Picture 10"/>
            <wp:cNvGraphicFramePr>
              <a:graphicFrameLocks noChangeAspect="1"/>
            </wp:cNvGraphicFramePr>
            <a:graphic>
              <a:graphicData uri="http://schemas.openxmlformats.org/drawingml/2006/picture">
                <pic:pic>
                  <pic:nvPicPr>
                    <pic:cNvPr id="0" name="missingness_heatmap.png"/>
                    <pic:cNvPicPr/>
                  </pic:nvPicPr>
                  <pic:blipFill>
                    <a:blip r:embed="rId18"/>
                    <a:stretch>
                      <a:fillRect/>
                    </a:stretch>
                  </pic:blipFill>
                  <pic:spPr>
                    <a:xfrm>
                      <a:off x="0" y="0"/>
                      <a:ext cx="5400000" cy="3937500"/>
                    </a:xfrm>
                    <a:prstGeom prst="rect"/>
                  </pic:spPr>
                </pic:pic>
              </a:graphicData>
            </a:graphic>
          </wp:inline>
        </w:drawing>
      </w:r>
    </w:p>
    <w:p>
      <w:pPr>
        <w:spacing w:before="40" w:after="200"/>
        <w:jc w:val="center"/>
      </w:pPr>
      <w:r>
        <w:rPr>
          <w:rFonts w:ascii="Times New Roman" w:hAnsi="Times New Roman"/>
          <w:b/>
          <w:sz w:val="20"/>
        </w:rPr>
        <w:t xml:space="preserve">شکل 4.10 — </w:t>
      </w:r>
      <w:r>
        <w:rPr>
          <w:rFonts w:ascii="Times New Roman" w:hAnsi="Times New Roman"/>
          <w:i/>
          <w:sz w:val="20"/>
        </w:rPr>
        <w:t>نقشه گرمایی داده‌های مفقود — هر سطر یک ماه، هر ستون یک دارایی (زرد = missing)</w:t>
      </w:r>
    </w:p>
    <w:p>
      <w:pPr>
        <w:ind w:firstLine="425"/>
        <w:jc w:val="both"/>
      </w:pPr>
      <w:r>
        <w:t>نتیجه Data QC: مجموعه داده از کیفیت مناسب برخوردار است. ۵۴ رویداد outlier با |z|≥6 شناسایی شد که عمدتاً مرتبط با بحران COVID-19 (آوریل ۲۰۲۰) و جنگ خلیج فارس (۱۹۹۱) هستند. این رویدادها به دلیل واقعی بودن حذف نشده‌اند، بلکه مدل LPM به طور خاص برای مقاومت در برابر چنین رویدادهای دنباله‌ای طراحی شده است.</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