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4.3  طراحی سناریوها و آدیت کیفیت</w:t>
      </w:r>
    </w:p>
    <w:p>
      <w:pPr>
        <w:ind w:firstLine="425"/>
        <w:jc w:val="both"/>
      </w:pPr>
      <w:r>
        <w:t>ارزیابی استراتژی‌های پوشش ریسک نیازمند مجموعه‌ای از سناریوهای معاملاتی است که طیف گسترده‌ای از شرایط بازار را پوشش دهد. در این پژوهش، سه نوع مجموعه سناریو طراحی شده است که هر کدام هدف متفاوتی در ارزیابی دارند. برای هر سناریو، پارامترهای زیر تعریف شده‌اند: تاریخ شروع، افق زمانی (۲۰ تا ۴۰ روز معاملاتی)، حجم معامله (۱ میلیون بشکه)، و قیمت‌های اسپات و آتی متناظر.</w:t>
      </w:r>
    </w:p>
    <w:p>
      <w:pPr>
        <w:pStyle w:val="Heading3"/>
      </w:pPr>
      <w:r>
        <w:t>4.3.1  انواع سناریوها</w:t>
      </w:r>
    </w:p>
    <w:p>
      <w:pPr>
        <w:ind w:firstLine="425"/>
        <w:jc w:val="both"/>
      </w:pPr>
      <w:r>
        <w:t>سناریوهای پایه (Baseline) برگرفته از تاریخ‌های واقعی بازار هستند. به ازای هر روز معاملاتی موجود در داده‌ها، یک سناریو با افق ثابت ۲۰ روزه تعریف شده است. این سناریوها وضعیت معاملاتی واقعی را شبیه‌سازی می‌کنند و پایه اصلی ارزیابی عملکرد تاریخی هستند.</w:t>
      </w:r>
    </w:p>
    <w:p>
      <w:pPr>
        <w:ind w:firstLine="425"/>
        <w:jc w:val="both"/>
      </w:pPr>
      <w:r>
        <w:t>سناریوهای اوراکل (Oracle All) شامل طیف گسترده‌تری از شرایط بازار هستند. این سناریوها به دو دسته تقسیم می‌شوند: اکستریم روزانه (Extreme Daily) که رویدادهای بحرانی با حرکات قیمتی شدید را شبیه‌سازی می‌کند، و فیزیبل ماهانه (Feasible Monthly) که شرایط معاملاتی واقع‌بینانه در افق ماهانه را مدل می‌کند. افق زمانی این سناریوها بین ۲۰ تا ۴۰ روز متغیر است.</w:t>
      </w:r>
    </w:p>
    <w:p>
      <w:pPr>
        <w:ind w:firstLine="425"/>
        <w:jc w:val="both"/>
      </w:pPr>
      <w:r>
        <w:t>سناریوهای اوراکل کیهانی (Oracle Universe) گسترده‌ترین مجموعه ارزیابی را تشکیل می‌دهند. این مجموعه از نمونه‌برداری کامل از فضای سناریوهای ممکن ایجاد شده و به عنوان مجموعه آموزشی اصلی برای مدل SAC استفاده می‌شود. بزرگی این مجموعه (بیش از ۱۰۴٬۰۰۰ سناریو برای WTI) آموزش robust را تضمین می‌کند.</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vAlign w:val="center"/>
            <w:shd w:val="clear" w:color="auto" w:fill="1F497D"/>
          </w:tcPr>
          <w:p>
            <w:pPr>
              <w:jc w:val="center"/>
            </w:pPr>
            <w:r>
              <w:rPr>
                <w:rFonts w:ascii="Times New Roman" w:hAnsi="Times New Roman"/>
                <w:b/>
                <w:color w:val="FFFFFF"/>
                <w:sz w:val="20"/>
              </w:rPr>
              <w:t>دارایی</w:t>
            </w:r>
          </w:p>
        </w:tc>
        <w:tc>
          <w:tcPr>
            <w:tcW w:type="dxa" w:w="1984"/>
            <w:vAlign w:val="center"/>
            <w:shd w:val="clear" w:color="auto" w:fill="1F497D"/>
          </w:tcPr>
          <w:p>
            <w:pPr>
              <w:jc w:val="center"/>
            </w:pPr>
            <w:r>
              <w:rPr>
                <w:rFonts w:ascii="Times New Roman" w:hAnsi="Times New Roman"/>
                <w:b/>
                <w:color w:val="FFFFFF"/>
                <w:sz w:val="20"/>
              </w:rPr>
              <w:t>نوع سناریو</w:t>
            </w:r>
          </w:p>
        </w:tc>
        <w:tc>
          <w:tcPr>
            <w:tcW w:type="dxa" w:w="1417"/>
            <w:vAlign w:val="center"/>
            <w:shd w:val="clear" w:color="auto" w:fill="1F497D"/>
          </w:tcPr>
          <w:p>
            <w:pPr>
              <w:jc w:val="center"/>
            </w:pPr>
            <w:r>
              <w:rPr>
                <w:rFonts w:ascii="Times New Roman" w:hAnsi="Times New Roman"/>
                <w:b/>
                <w:color w:val="FFFFFF"/>
                <w:sz w:val="20"/>
              </w:rPr>
              <w:t>تعداد</w:t>
            </w:r>
          </w:p>
        </w:tc>
        <w:tc>
          <w:tcPr>
            <w:tcW w:type="dxa" w:w="1701"/>
            <w:vAlign w:val="center"/>
            <w:shd w:val="clear" w:color="auto" w:fill="1F497D"/>
          </w:tcPr>
          <w:p>
            <w:pPr>
              <w:jc w:val="center"/>
            </w:pPr>
            <w:r>
              <w:rPr>
                <w:rFonts w:ascii="Times New Roman" w:hAnsi="Times New Roman"/>
                <w:b/>
                <w:color w:val="FFFFFF"/>
                <w:sz w:val="20"/>
              </w:rPr>
              <w:t>بازه زمانی</w:t>
            </w:r>
          </w:p>
        </w:tc>
        <w:tc>
          <w:tcPr>
            <w:tcW w:type="dxa" w:w="1417"/>
            <w:vAlign w:val="center"/>
            <w:shd w:val="clear" w:color="auto" w:fill="1F497D"/>
          </w:tcPr>
          <w:p>
            <w:pPr>
              <w:jc w:val="center"/>
            </w:pPr>
            <w:r>
              <w:rPr>
                <w:rFonts w:ascii="Times New Roman" w:hAnsi="Times New Roman"/>
                <w:b/>
                <w:color w:val="FFFFFF"/>
                <w:sz w:val="20"/>
              </w:rPr>
              <w:t>افق (روز)</w:t>
            </w:r>
          </w:p>
        </w:tc>
      </w:tr>
      <w:tr>
        <w:tc>
          <w:tcPr>
            <w:tcW w:type="dxa" w:w="1701"/>
            <w:shd w:val="clear" w:color="auto" w:fill="EBF0F7"/>
          </w:tcPr>
          <w:p>
            <w:pPr>
              <w:jc w:val="center"/>
            </w:pPr>
            <w:r>
              <w:rPr>
                <w:rFonts w:ascii="Times New Roman" w:hAnsi="Times New Roman"/>
                <w:sz w:val="20"/>
              </w:rPr>
              <w:t>WTI Spot</w:t>
            </w:r>
          </w:p>
        </w:tc>
        <w:tc>
          <w:tcPr>
            <w:tcW w:type="dxa" w:w="1984"/>
            <w:shd w:val="clear" w:color="auto" w:fill="EBF0F7"/>
          </w:tcPr>
          <w:p>
            <w:pPr>
              <w:jc w:val="center"/>
            </w:pPr>
            <w:r>
              <w:rPr>
                <w:rFonts w:ascii="Times New Roman" w:hAnsi="Times New Roman"/>
                <w:sz w:val="20"/>
              </w:rPr>
              <w:t>Baseline</w:t>
            </w:r>
          </w:p>
        </w:tc>
        <w:tc>
          <w:tcPr>
            <w:tcW w:type="dxa" w:w="1417"/>
            <w:shd w:val="clear" w:color="auto" w:fill="EBF0F7"/>
          </w:tcPr>
          <w:p>
            <w:pPr>
              <w:jc w:val="center"/>
            </w:pPr>
            <w:r>
              <w:rPr>
                <w:rFonts w:ascii="Times New Roman" w:hAnsi="Times New Roman"/>
                <w:sz w:val="20"/>
              </w:rPr>
              <w:t>10,425</w:t>
            </w:r>
          </w:p>
        </w:tc>
        <w:tc>
          <w:tcPr>
            <w:tcW w:type="dxa" w:w="1701"/>
            <w:shd w:val="clear" w:color="auto" w:fill="EBF0F7"/>
          </w:tcPr>
          <w:p>
            <w:pPr>
              <w:jc w:val="center"/>
            </w:pPr>
            <w:r>
              <w:rPr>
                <w:rFonts w:ascii="Times New Roman" w:hAnsi="Times New Roman"/>
                <w:sz w:val="20"/>
              </w:rPr>
              <w:t>1986–2025</w:t>
            </w:r>
          </w:p>
        </w:tc>
        <w:tc>
          <w:tcPr>
            <w:tcW w:type="dxa" w:w="1417"/>
            <w:shd w:val="clear" w:color="auto" w:fill="EBF0F7"/>
          </w:tcPr>
          <w:p>
            <w:pPr>
              <w:jc w:val="center"/>
            </w:pPr>
            <w:r>
              <w:rPr>
                <w:rFonts w:ascii="Times New Roman" w:hAnsi="Times New Roman"/>
                <w:sz w:val="20"/>
              </w:rPr>
              <w:t>20 (ثابت)</w:t>
            </w:r>
          </w:p>
        </w:tc>
      </w:tr>
      <w:tr>
        <w:tc>
          <w:tcPr>
            <w:tcW w:type="dxa" w:w="1701"/>
            <w:shd w:val="clear" w:color="auto" w:fill="FFFFFF"/>
          </w:tcPr>
          <w:p>
            <w:pPr>
              <w:jc w:val="center"/>
            </w:pPr>
            <w:r>
              <w:rPr>
                <w:rFonts w:ascii="Times New Roman" w:hAnsi="Times New Roman"/>
                <w:sz w:val="20"/>
              </w:rPr>
              <w:t>WTI Spot</w:t>
            </w:r>
          </w:p>
        </w:tc>
        <w:tc>
          <w:tcPr>
            <w:tcW w:type="dxa" w:w="1984"/>
            <w:shd w:val="clear" w:color="auto" w:fill="FFFFFF"/>
          </w:tcPr>
          <w:p>
            <w:pPr>
              <w:jc w:val="center"/>
            </w:pPr>
            <w:r>
              <w:rPr>
                <w:rFonts w:ascii="Times New Roman" w:hAnsi="Times New Roman"/>
                <w:sz w:val="20"/>
              </w:rPr>
              <w:t>Oracle All</w:t>
            </w:r>
          </w:p>
        </w:tc>
        <w:tc>
          <w:tcPr>
            <w:tcW w:type="dxa" w:w="1417"/>
            <w:shd w:val="clear" w:color="auto" w:fill="FFFFFF"/>
          </w:tcPr>
          <w:p>
            <w:pPr>
              <w:jc w:val="center"/>
            </w:pPr>
            <w:r>
              <w:rPr>
                <w:rFonts w:ascii="Times New Roman" w:hAnsi="Times New Roman"/>
                <w:sz w:val="20"/>
              </w:rPr>
              <w:t>29,032</w:t>
            </w:r>
          </w:p>
        </w:tc>
        <w:tc>
          <w:tcPr>
            <w:tcW w:type="dxa" w:w="1701"/>
            <w:shd w:val="clear" w:color="auto" w:fill="FFFFFF"/>
          </w:tcPr>
          <w:p>
            <w:pPr>
              <w:jc w:val="center"/>
            </w:pPr>
            <w:r>
              <w:rPr>
                <w:rFonts w:ascii="Times New Roman" w:hAnsi="Times New Roman"/>
                <w:sz w:val="20"/>
              </w:rPr>
              <w:t>1986–2025</w:t>
            </w:r>
          </w:p>
        </w:tc>
        <w:tc>
          <w:tcPr>
            <w:tcW w:type="dxa" w:w="1417"/>
            <w:shd w:val="clear" w:color="auto" w:fill="FFFFFF"/>
          </w:tcPr>
          <w:p>
            <w:pPr>
              <w:jc w:val="center"/>
            </w:pPr>
            <w:r>
              <w:rPr>
                <w:rFonts w:ascii="Times New Roman" w:hAnsi="Times New Roman"/>
                <w:sz w:val="20"/>
              </w:rPr>
              <w:t>20–40</w:t>
            </w:r>
          </w:p>
        </w:tc>
      </w:tr>
      <w:tr>
        <w:tc>
          <w:tcPr>
            <w:tcW w:type="dxa" w:w="1701"/>
            <w:shd w:val="clear" w:color="auto" w:fill="EBF0F7"/>
          </w:tcPr>
          <w:p>
            <w:pPr>
              <w:jc w:val="center"/>
            </w:pPr>
            <w:r>
              <w:rPr>
                <w:rFonts w:ascii="Times New Roman" w:hAnsi="Times New Roman"/>
                <w:sz w:val="20"/>
              </w:rPr>
              <w:t>WTI Spot</w:t>
            </w:r>
          </w:p>
        </w:tc>
        <w:tc>
          <w:tcPr>
            <w:tcW w:type="dxa" w:w="1984"/>
            <w:shd w:val="clear" w:color="auto" w:fill="EBF0F7"/>
          </w:tcPr>
          <w:p>
            <w:pPr>
              <w:jc w:val="center"/>
            </w:pPr>
            <w:r>
              <w:rPr>
                <w:rFonts w:ascii="Times New Roman" w:hAnsi="Times New Roman"/>
                <w:sz w:val="20"/>
              </w:rPr>
              <w:t>Oracle Universe</w:t>
            </w:r>
          </w:p>
        </w:tc>
        <w:tc>
          <w:tcPr>
            <w:tcW w:type="dxa" w:w="1417"/>
            <w:shd w:val="clear" w:color="auto" w:fill="EBF0F7"/>
          </w:tcPr>
          <w:p>
            <w:pPr>
              <w:jc w:val="center"/>
            </w:pPr>
            <w:r>
              <w:rPr>
                <w:rFonts w:ascii="Times New Roman" w:hAnsi="Times New Roman"/>
                <w:sz w:val="20"/>
              </w:rPr>
              <w:t>104,250</w:t>
            </w:r>
          </w:p>
        </w:tc>
        <w:tc>
          <w:tcPr>
            <w:tcW w:type="dxa" w:w="1701"/>
            <w:shd w:val="clear" w:color="auto" w:fill="EBF0F7"/>
          </w:tcPr>
          <w:p>
            <w:pPr>
              <w:jc w:val="center"/>
            </w:pPr>
            <w:r>
              <w:rPr>
                <w:rFonts w:ascii="Times New Roman" w:hAnsi="Times New Roman"/>
                <w:sz w:val="20"/>
              </w:rPr>
              <w:t>1986–2025</w:t>
            </w:r>
          </w:p>
        </w:tc>
        <w:tc>
          <w:tcPr>
            <w:tcW w:type="dxa" w:w="1417"/>
            <w:shd w:val="clear" w:color="auto" w:fill="EBF0F7"/>
          </w:tcPr>
          <w:p>
            <w:pPr>
              <w:jc w:val="center"/>
            </w:pPr>
            <w:r>
              <w:rPr>
                <w:rFonts w:ascii="Times New Roman" w:hAnsi="Times New Roman"/>
                <w:sz w:val="20"/>
              </w:rPr>
              <w:t>20–40</w:t>
            </w:r>
          </w:p>
        </w:tc>
      </w:tr>
      <w:tr>
        <w:tc>
          <w:tcPr>
            <w:tcW w:type="dxa" w:w="1701"/>
            <w:shd w:val="clear" w:color="auto" w:fill="FFFFFF"/>
          </w:tcPr>
          <w:p>
            <w:pPr>
              <w:jc w:val="center"/>
            </w:pPr>
            <w:r>
              <w:rPr>
                <w:rFonts w:ascii="Times New Roman" w:hAnsi="Times New Roman"/>
                <w:sz w:val="20"/>
              </w:rPr>
              <w:t>Brent Spot</w:t>
            </w:r>
          </w:p>
        </w:tc>
        <w:tc>
          <w:tcPr>
            <w:tcW w:type="dxa" w:w="1984"/>
            <w:shd w:val="clear" w:color="auto" w:fill="FFFFFF"/>
          </w:tcPr>
          <w:p>
            <w:pPr>
              <w:jc w:val="center"/>
            </w:pPr>
            <w:r>
              <w:rPr>
                <w:rFonts w:ascii="Times New Roman" w:hAnsi="Times New Roman"/>
                <w:sz w:val="20"/>
              </w:rPr>
              <w:t>Baseline</w:t>
            </w:r>
          </w:p>
        </w:tc>
        <w:tc>
          <w:tcPr>
            <w:tcW w:type="dxa" w:w="1417"/>
            <w:shd w:val="clear" w:color="auto" w:fill="FFFFFF"/>
          </w:tcPr>
          <w:p>
            <w:pPr>
              <w:jc w:val="center"/>
            </w:pPr>
            <w:r>
              <w:rPr>
                <w:rFonts w:ascii="Times New Roman" w:hAnsi="Times New Roman"/>
                <w:sz w:val="20"/>
              </w:rPr>
              <w:t>10,066</w:t>
            </w:r>
          </w:p>
        </w:tc>
        <w:tc>
          <w:tcPr>
            <w:tcW w:type="dxa" w:w="1701"/>
            <w:shd w:val="clear" w:color="auto" w:fill="FFFFFF"/>
          </w:tcPr>
          <w:p>
            <w:pPr>
              <w:jc w:val="center"/>
            </w:pPr>
            <w:r>
              <w:rPr>
                <w:rFonts w:ascii="Times New Roman" w:hAnsi="Times New Roman"/>
                <w:sz w:val="20"/>
              </w:rPr>
              <w:t>1987–2025</w:t>
            </w:r>
          </w:p>
        </w:tc>
        <w:tc>
          <w:tcPr>
            <w:tcW w:type="dxa" w:w="1417"/>
            <w:shd w:val="clear" w:color="auto" w:fill="FFFFFF"/>
          </w:tcPr>
          <w:p>
            <w:pPr>
              <w:jc w:val="center"/>
            </w:pPr>
            <w:r>
              <w:rPr>
                <w:rFonts w:ascii="Times New Roman" w:hAnsi="Times New Roman"/>
                <w:sz w:val="20"/>
              </w:rPr>
              <w:t>20 (ثابت)</w:t>
            </w:r>
          </w:p>
        </w:tc>
      </w:tr>
      <w:tr>
        <w:tc>
          <w:tcPr>
            <w:tcW w:type="dxa" w:w="1701"/>
            <w:shd w:val="clear" w:color="auto" w:fill="EBF0F7"/>
          </w:tcPr>
          <w:p>
            <w:pPr>
              <w:jc w:val="center"/>
            </w:pPr>
            <w:r>
              <w:rPr>
                <w:rFonts w:ascii="Times New Roman" w:hAnsi="Times New Roman"/>
                <w:sz w:val="20"/>
              </w:rPr>
              <w:t>Brent Spot</w:t>
            </w:r>
          </w:p>
        </w:tc>
        <w:tc>
          <w:tcPr>
            <w:tcW w:type="dxa" w:w="1984"/>
            <w:shd w:val="clear" w:color="auto" w:fill="EBF0F7"/>
          </w:tcPr>
          <w:p>
            <w:pPr>
              <w:jc w:val="center"/>
            </w:pPr>
            <w:r>
              <w:rPr>
                <w:rFonts w:ascii="Times New Roman" w:hAnsi="Times New Roman"/>
                <w:sz w:val="20"/>
              </w:rPr>
              <w:t>Oracle All</w:t>
            </w:r>
          </w:p>
        </w:tc>
        <w:tc>
          <w:tcPr>
            <w:tcW w:type="dxa" w:w="1417"/>
            <w:shd w:val="clear" w:color="auto" w:fill="EBF0F7"/>
          </w:tcPr>
          <w:p>
            <w:pPr>
              <w:jc w:val="center"/>
            </w:pPr>
            <w:r>
              <w:rPr>
                <w:rFonts w:ascii="Times New Roman" w:hAnsi="Times New Roman"/>
                <w:sz w:val="20"/>
              </w:rPr>
              <w:t>27,943</w:t>
            </w:r>
          </w:p>
        </w:tc>
        <w:tc>
          <w:tcPr>
            <w:tcW w:type="dxa" w:w="1701"/>
            <w:shd w:val="clear" w:color="auto" w:fill="EBF0F7"/>
          </w:tcPr>
          <w:p>
            <w:pPr>
              <w:jc w:val="center"/>
            </w:pPr>
            <w:r>
              <w:rPr>
                <w:rFonts w:ascii="Times New Roman" w:hAnsi="Times New Roman"/>
                <w:sz w:val="20"/>
              </w:rPr>
              <w:t>1987–2025</w:t>
            </w:r>
          </w:p>
        </w:tc>
        <w:tc>
          <w:tcPr>
            <w:tcW w:type="dxa" w:w="1417"/>
            <w:shd w:val="clear" w:color="auto" w:fill="EBF0F7"/>
          </w:tcPr>
          <w:p>
            <w:pPr>
              <w:jc w:val="center"/>
            </w:pPr>
            <w:r>
              <w:rPr>
                <w:rFonts w:ascii="Times New Roman" w:hAnsi="Times New Roman"/>
                <w:sz w:val="20"/>
              </w:rPr>
              <w:t>20–40</w:t>
            </w:r>
          </w:p>
        </w:tc>
      </w:tr>
      <w:tr>
        <w:tc>
          <w:tcPr>
            <w:tcW w:type="dxa" w:w="1701"/>
            <w:shd w:val="clear" w:color="auto" w:fill="FFFFFF"/>
          </w:tcPr>
          <w:p>
            <w:pPr>
              <w:jc w:val="center"/>
            </w:pPr>
            <w:r>
              <w:rPr>
                <w:rFonts w:ascii="Times New Roman" w:hAnsi="Times New Roman"/>
                <w:sz w:val="20"/>
              </w:rPr>
              <w:t>Brent Spot</w:t>
            </w:r>
          </w:p>
        </w:tc>
        <w:tc>
          <w:tcPr>
            <w:tcW w:type="dxa" w:w="1984"/>
            <w:shd w:val="clear" w:color="auto" w:fill="FFFFFF"/>
          </w:tcPr>
          <w:p>
            <w:pPr>
              <w:jc w:val="center"/>
            </w:pPr>
            <w:r>
              <w:rPr>
                <w:rFonts w:ascii="Times New Roman" w:hAnsi="Times New Roman"/>
                <w:sz w:val="20"/>
              </w:rPr>
              <w:t>Oracle Universe</w:t>
            </w:r>
          </w:p>
        </w:tc>
        <w:tc>
          <w:tcPr>
            <w:tcW w:type="dxa" w:w="1417"/>
            <w:shd w:val="clear" w:color="auto" w:fill="FFFFFF"/>
          </w:tcPr>
          <w:p>
            <w:pPr>
              <w:jc w:val="center"/>
            </w:pPr>
            <w:r>
              <w:rPr>
                <w:rFonts w:ascii="Times New Roman" w:hAnsi="Times New Roman"/>
                <w:sz w:val="20"/>
              </w:rPr>
              <w:t>100,660</w:t>
            </w:r>
          </w:p>
        </w:tc>
        <w:tc>
          <w:tcPr>
            <w:tcW w:type="dxa" w:w="1701"/>
            <w:shd w:val="clear" w:color="auto" w:fill="FFFFFF"/>
          </w:tcPr>
          <w:p>
            <w:pPr>
              <w:jc w:val="center"/>
            </w:pPr>
            <w:r>
              <w:rPr>
                <w:rFonts w:ascii="Times New Roman" w:hAnsi="Times New Roman"/>
                <w:sz w:val="20"/>
              </w:rPr>
              <w:t>1987–2025</w:t>
            </w:r>
          </w:p>
        </w:tc>
        <w:tc>
          <w:tcPr>
            <w:tcW w:type="dxa" w:w="1417"/>
            <w:shd w:val="clear" w:color="auto" w:fill="FFFFFF"/>
          </w:tcPr>
          <w:p>
            <w:pPr>
              <w:jc w:val="center"/>
            </w:pPr>
            <w:r>
              <w:rPr>
                <w:rFonts w:ascii="Times New Roman" w:hAnsi="Times New Roman"/>
                <w:sz w:val="20"/>
              </w:rPr>
              <w:t>20–40</w:t>
            </w:r>
          </w:p>
        </w:tc>
      </w:tr>
      <w:tr>
        <w:tc>
          <w:tcPr>
            <w:tcW w:type="dxa" w:w="1701"/>
            <w:shd w:val="clear" w:color="auto" w:fill="EBF0F7"/>
          </w:tcPr>
          <w:p>
            <w:pPr>
              <w:jc w:val="center"/>
            </w:pPr>
            <w:r>
              <w:rPr>
                <w:rFonts w:ascii="Times New Roman" w:hAnsi="Times New Roman"/>
                <w:sz w:val="20"/>
              </w:rPr>
              <w:t>OPEC Basket</w:t>
            </w:r>
          </w:p>
        </w:tc>
        <w:tc>
          <w:tcPr>
            <w:tcW w:type="dxa" w:w="1984"/>
            <w:shd w:val="clear" w:color="auto" w:fill="EBF0F7"/>
          </w:tcPr>
          <w:p>
            <w:pPr>
              <w:jc w:val="center"/>
            </w:pPr>
            <w:r>
              <w:rPr>
                <w:rFonts w:ascii="Times New Roman" w:hAnsi="Times New Roman"/>
                <w:sz w:val="20"/>
              </w:rPr>
              <w:t>Baseline</w:t>
            </w:r>
          </w:p>
        </w:tc>
        <w:tc>
          <w:tcPr>
            <w:tcW w:type="dxa" w:w="1417"/>
            <w:shd w:val="clear" w:color="auto" w:fill="EBF0F7"/>
          </w:tcPr>
          <w:p>
            <w:pPr>
              <w:jc w:val="center"/>
            </w:pPr>
            <w:r>
              <w:rPr>
                <w:rFonts w:ascii="Times New Roman" w:hAnsi="Times New Roman"/>
                <w:sz w:val="20"/>
              </w:rPr>
              <w:t>5,990</w:t>
            </w:r>
          </w:p>
        </w:tc>
        <w:tc>
          <w:tcPr>
            <w:tcW w:type="dxa" w:w="1701"/>
            <w:shd w:val="clear" w:color="auto" w:fill="EBF0F7"/>
          </w:tcPr>
          <w:p>
            <w:pPr>
              <w:jc w:val="center"/>
            </w:pPr>
            <w:r>
              <w:rPr>
                <w:rFonts w:ascii="Times New Roman" w:hAnsi="Times New Roman"/>
                <w:sz w:val="20"/>
              </w:rPr>
              <w:t>2003–2025</w:t>
            </w:r>
          </w:p>
        </w:tc>
        <w:tc>
          <w:tcPr>
            <w:tcW w:type="dxa" w:w="1417"/>
            <w:shd w:val="clear" w:color="auto" w:fill="EBF0F7"/>
          </w:tcPr>
          <w:p>
            <w:pPr>
              <w:jc w:val="center"/>
            </w:pPr>
            <w:r>
              <w:rPr>
                <w:rFonts w:ascii="Times New Roman" w:hAnsi="Times New Roman"/>
                <w:sz w:val="20"/>
              </w:rPr>
              <w:t>20 (ثابت)</w:t>
            </w:r>
          </w:p>
        </w:tc>
      </w:tr>
      <w:tr>
        <w:tc>
          <w:tcPr>
            <w:tcW w:type="dxa" w:w="1701"/>
            <w:shd w:val="clear" w:color="auto" w:fill="FFFFFF"/>
          </w:tcPr>
          <w:p>
            <w:pPr>
              <w:jc w:val="center"/>
            </w:pPr>
            <w:r>
              <w:rPr>
                <w:rFonts w:ascii="Times New Roman" w:hAnsi="Times New Roman"/>
                <w:sz w:val="20"/>
              </w:rPr>
              <w:t>OPEC Basket</w:t>
            </w:r>
          </w:p>
        </w:tc>
        <w:tc>
          <w:tcPr>
            <w:tcW w:type="dxa" w:w="1984"/>
            <w:shd w:val="clear" w:color="auto" w:fill="FFFFFF"/>
          </w:tcPr>
          <w:p>
            <w:pPr>
              <w:jc w:val="center"/>
            </w:pPr>
            <w:r>
              <w:rPr>
                <w:rFonts w:ascii="Times New Roman" w:hAnsi="Times New Roman"/>
                <w:sz w:val="20"/>
              </w:rPr>
              <w:t>Oracle All</w:t>
            </w:r>
          </w:p>
        </w:tc>
        <w:tc>
          <w:tcPr>
            <w:tcW w:type="dxa" w:w="1417"/>
            <w:shd w:val="clear" w:color="auto" w:fill="FFFFFF"/>
          </w:tcPr>
          <w:p>
            <w:pPr>
              <w:jc w:val="center"/>
            </w:pPr>
            <w:r>
              <w:rPr>
                <w:rFonts w:ascii="Times New Roman" w:hAnsi="Times New Roman"/>
                <w:sz w:val="20"/>
              </w:rPr>
              <w:t>16,579</w:t>
            </w:r>
          </w:p>
        </w:tc>
        <w:tc>
          <w:tcPr>
            <w:tcW w:type="dxa" w:w="1701"/>
            <w:shd w:val="clear" w:color="auto" w:fill="FFFFFF"/>
          </w:tcPr>
          <w:p>
            <w:pPr>
              <w:jc w:val="center"/>
            </w:pPr>
            <w:r>
              <w:rPr>
                <w:rFonts w:ascii="Times New Roman" w:hAnsi="Times New Roman"/>
                <w:sz w:val="20"/>
              </w:rPr>
              <w:t>2003–2025</w:t>
            </w:r>
          </w:p>
        </w:tc>
        <w:tc>
          <w:tcPr>
            <w:tcW w:type="dxa" w:w="1417"/>
            <w:shd w:val="clear" w:color="auto" w:fill="FFFFFF"/>
          </w:tcPr>
          <w:p>
            <w:pPr>
              <w:jc w:val="center"/>
            </w:pPr>
            <w:r>
              <w:rPr>
                <w:rFonts w:ascii="Times New Roman" w:hAnsi="Times New Roman"/>
                <w:sz w:val="20"/>
              </w:rPr>
              <w:t>20–40</w:t>
            </w:r>
          </w:p>
        </w:tc>
      </w:tr>
      <w:tr>
        <w:tc>
          <w:tcPr>
            <w:tcW w:type="dxa" w:w="1701"/>
            <w:shd w:val="clear" w:color="auto" w:fill="EBF0F7"/>
          </w:tcPr>
          <w:p>
            <w:pPr>
              <w:jc w:val="center"/>
            </w:pPr>
            <w:r>
              <w:rPr>
                <w:rFonts w:ascii="Times New Roman" w:hAnsi="Times New Roman"/>
                <w:sz w:val="20"/>
              </w:rPr>
              <w:t>OPEC Basket</w:t>
            </w:r>
          </w:p>
        </w:tc>
        <w:tc>
          <w:tcPr>
            <w:tcW w:type="dxa" w:w="1984"/>
            <w:shd w:val="clear" w:color="auto" w:fill="EBF0F7"/>
          </w:tcPr>
          <w:p>
            <w:pPr>
              <w:jc w:val="center"/>
            </w:pPr>
            <w:r>
              <w:rPr>
                <w:rFonts w:ascii="Times New Roman" w:hAnsi="Times New Roman"/>
                <w:sz w:val="20"/>
              </w:rPr>
              <w:t>Oracle Universe</w:t>
            </w:r>
          </w:p>
        </w:tc>
        <w:tc>
          <w:tcPr>
            <w:tcW w:type="dxa" w:w="1417"/>
            <w:shd w:val="clear" w:color="auto" w:fill="EBF0F7"/>
          </w:tcPr>
          <w:p>
            <w:pPr>
              <w:jc w:val="center"/>
            </w:pPr>
            <w:r>
              <w:rPr>
                <w:rFonts w:ascii="Times New Roman" w:hAnsi="Times New Roman"/>
                <w:sz w:val="20"/>
              </w:rPr>
              <w:t>59,900</w:t>
            </w:r>
          </w:p>
        </w:tc>
        <w:tc>
          <w:tcPr>
            <w:tcW w:type="dxa" w:w="1701"/>
            <w:shd w:val="clear" w:color="auto" w:fill="EBF0F7"/>
          </w:tcPr>
          <w:p>
            <w:pPr>
              <w:jc w:val="center"/>
            </w:pPr>
            <w:r>
              <w:rPr>
                <w:rFonts w:ascii="Times New Roman" w:hAnsi="Times New Roman"/>
                <w:sz w:val="20"/>
              </w:rPr>
              <w:t>2003–2025</w:t>
            </w:r>
          </w:p>
        </w:tc>
        <w:tc>
          <w:tcPr>
            <w:tcW w:type="dxa" w:w="1417"/>
            <w:shd w:val="clear" w:color="auto" w:fill="EBF0F7"/>
          </w:tcPr>
          <w:p>
            <w:pPr>
              <w:jc w:val="center"/>
            </w:pPr>
            <w:r>
              <w:rPr>
                <w:rFonts w:ascii="Times New Roman" w:hAnsi="Times New Roman"/>
                <w:sz w:val="20"/>
              </w:rPr>
              <w:t>20–40</w:t>
            </w:r>
          </w:p>
        </w:tc>
      </w:tr>
      <w:tr>
        <w:tc>
          <w:tcPr>
            <w:tcW w:type="dxa" w:w="1701"/>
            <w:shd w:val="clear" w:color="auto" w:fill="FFFFFF"/>
          </w:tcPr>
          <w:p>
            <w:pPr>
              <w:jc w:val="center"/>
            </w:pPr>
            <w:r>
              <w:rPr>
                <w:rFonts w:ascii="Times New Roman" w:hAnsi="Times New Roman"/>
                <w:sz w:val="20"/>
              </w:rPr>
              <w:t>مجموع</w:t>
            </w:r>
          </w:p>
        </w:tc>
        <w:tc>
          <w:tcPr>
            <w:tcW w:type="dxa" w:w="1984"/>
            <w:shd w:val="clear" w:color="auto" w:fill="FFFFFF"/>
          </w:tcPr>
          <w:p>
            <w:pPr>
              <w:jc w:val="center"/>
            </w:pPr>
            <w:r>
              <w:rPr>
                <w:rFonts w:ascii="Times New Roman" w:hAnsi="Times New Roman"/>
                <w:sz w:val="20"/>
              </w:rPr>
              <w:t>—</w:t>
            </w:r>
          </w:p>
        </w:tc>
        <w:tc>
          <w:tcPr>
            <w:tcW w:type="dxa" w:w="1417"/>
            <w:shd w:val="clear" w:color="auto" w:fill="FFFFFF"/>
          </w:tcPr>
          <w:p>
            <w:pPr>
              <w:jc w:val="center"/>
            </w:pPr>
            <w:r>
              <w:rPr>
                <w:rFonts w:ascii="Times New Roman" w:hAnsi="Times New Roman"/>
                <w:sz w:val="20"/>
              </w:rPr>
              <w:t>~364,000</w:t>
            </w:r>
          </w:p>
        </w:tc>
        <w:tc>
          <w:tcPr>
            <w:tcW w:type="dxa" w:w="1701"/>
            <w:shd w:val="clear" w:color="auto" w:fill="FFFFFF"/>
          </w:tcPr>
          <w:p>
            <w:pPr>
              <w:jc w:val="center"/>
            </w:pPr>
            <w:r>
              <w:rPr>
                <w:rFonts w:ascii="Times New Roman" w:hAnsi="Times New Roman"/>
                <w:sz w:val="20"/>
              </w:rPr>
              <w:t>—</w:t>
            </w:r>
          </w:p>
        </w:tc>
        <w:tc>
          <w:tcPr>
            <w:tcW w:type="dxa" w:w="1417"/>
            <w:shd w:val="clear" w:color="auto" w:fill="FFFFFF"/>
          </w:tcPr>
          <w:p>
            <w:pPr>
              <w:jc w:val="center"/>
            </w:pPr>
            <w:r>
              <w:rPr>
                <w:rFonts w:ascii="Times New Roman" w:hAnsi="Times New Roman"/>
                <w:sz w:val="20"/>
              </w:rPr>
              <w:t>—</w:t>
            </w:r>
          </w:p>
        </w:tc>
      </w:tr>
    </w:tbl>
    <w:p>
      <w:pPr>
        <w:spacing w:before="40" w:after="160"/>
        <w:jc w:val="center"/>
      </w:pPr>
      <w:r>
        <w:rPr>
          <w:rFonts w:ascii="Times New Roman" w:hAnsi="Times New Roman"/>
          <w:b/>
          <w:sz w:val="20"/>
        </w:rPr>
        <w:t xml:space="preserve">جدول 4.6 — </w:t>
      </w:r>
      <w:r>
        <w:rPr>
          <w:rFonts w:ascii="Times New Roman" w:hAnsi="Times New Roman"/>
          <w:i/>
          <w:sz w:val="20"/>
        </w:rPr>
        <w:t>خلاصه corpus سناریوهای معاملاتی برای سه دارایی</w:t>
      </w:r>
    </w:p>
    <w:p>
      <w:pPr>
        <w:pStyle w:val="Heading3"/>
      </w:pPr>
      <w:r>
        <w:t>4.3.2  آدیت کیفیت سناریوها</w:t>
      </w:r>
    </w:p>
    <w:p>
      <w:pPr>
        <w:ind w:firstLine="425"/>
        <w:jc w:val="both"/>
      </w:pPr>
      <w:r>
        <w:t>برای اطمینان از صحت داده‌های سناریو، یک فرایند آدیت کیفیت اجرا شد که سه معیار اصلی را بررسی می‌کند: (۱) پوشش تاریخی — آیا بازه زمانی سناریو کاملاً در داده‌های master قرار دارد؟ (۲) کامل‌بودن داده — آیا قیمت‌های اسپات و آتی در پنجره سناریو موجود است؟ (۳) انطباق افق — آیا افق واقعی با افق هدف تعریف‌شده برابر است؟</w:t>
      </w:r>
    </w:p>
    <w:p>
      <w:pPr>
        <w:ind w:firstLine="425"/>
        <w:jc w:val="both"/>
      </w:pPr>
      <w:r>
        <w:t>نتایج نشان داد که ۱۰۰٪ سناریوها در محدوده زمانی داده‌های master قرار دارند (معیار اول کاملاً برقرار است). نرخ بالای عدم انطباق افق در سناریوهای Baseline (۱۰۰٪) ناشی از تفاوت تعریف افق هدف (تعداد روزهای تقویمی) با افق واقعی (تعداد روزهای معاملاتی) است و یک مشخصه طراحی عمدی است، نه خطا. نرخ داده گمشده در سناریوها نیز عمدتاً به محدودیت در دسترس‌بودن برخی فیچرها در سال‌های اولیه برمی‌گردد.</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247"/>
            <w:vAlign w:val="center"/>
            <w:shd w:val="clear" w:color="auto" w:fill="1F497D"/>
          </w:tcPr>
          <w:p>
            <w:pPr>
              <w:jc w:val="center"/>
            </w:pPr>
            <w:r>
              <w:rPr>
                <w:rFonts w:ascii="Times New Roman" w:hAnsi="Times New Roman"/>
                <w:b/>
                <w:color w:val="FFFFFF"/>
                <w:sz w:val="20"/>
              </w:rPr>
              <w:t>دارایی</w:t>
            </w:r>
          </w:p>
        </w:tc>
        <w:tc>
          <w:tcPr>
            <w:tcW w:type="dxa" w:w="1814"/>
            <w:vAlign w:val="center"/>
            <w:shd w:val="clear" w:color="auto" w:fill="1F497D"/>
          </w:tcPr>
          <w:p>
            <w:pPr>
              <w:jc w:val="center"/>
            </w:pPr>
            <w:r>
              <w:rPr>
                <w:rFonts w:ascii="Times New Roman" w:hAnsi="Times New Roman"/>
                <w:b/>
                <w:color w:val="FFFFFF"/>
                <w:sz w:val="20"/>
              </w:rPr>
              <w:t>نوع</w:t>
            </w:r>
          </w:p>
        </w:tc>
        <w:tc>
          <w:tcPr>
            <w:tcW w:type="dxa" w:w="1417"/>
            <w:vAlign w:val="center"/>
            <w:shd w:val="clear" w:color="auto" w:fill="1F497D"/>
          </w:tcPr>
          <w:p>
            <w:pPr>
              <w:jc w:val="center"/>
            </w:pPr>
            <w:r>
              <w:rPr>
                <w:rFonts w:ascii="Times New Roman" w:hAnsi="Times New Roman"/>
                <w:b/>
                <w:color w:val="FFFFFF"/>
                <w:sz w:val="20"/>
              </w:rPr>
              <w:t>تعداد</w:t>
            </w:r>
          </w:p>
        </w:tc>
        <w:tc>
          <w:tcPr>
            <w:tcW w:type="dxa" w:w="1701"/>
            <w:vAlign w:val="center"/>
            <w:shd w:val="clear" w:color="auto" w:fill="1F497D"/>
          </w:tcPr>
          <w:p>
            <w:pPr>
              <w:jc w:val="center"/>
            </w:pPr>
            <w:r>
              <w:rPr>
                <w:rFonts w:ascii="Times New Roman" w:hAnsi="Times New Roman"/>
                <w:b/>
                <w:color w:val="FFFFFF"/>
                <w:sz w:val="20"/>
              </w:rPr>
              <w:t>در محدوده Master</w:t>
            </w:r>
          </w:p>
        </w:tc>
        <w:tc>
          <w:tcPr>
            <w:tcW w:type="dxa" w:w="1417"/>
            <w:vAlign w:val="center"/>
            <w:shd w:val="clear" w:color="auto" w:fill="1F497D"/>
          </w:tcPr>
          <w:p>
            <w:pPr>
              <w:jc w:val="center"/>
            </w:pPr>
            <w:r>
              <w:rPr>
                <w:rFonts w:ascii="Times New Roman" w:hAnsi="Times New Roman"/>
                <w:b/>
                <w:color w:val="FFFFFF"/>
                <w:sz w:val="20"/>
              </w:rPr>
              <w:t>داده گمشده</w:t>
            </w:r>
          </w:p>
        </w:tc>
        <w:tc>
          <w:tcPr>
            <w:tcW w:type="dxa" w:w="1757"/>
            <w:vAlign w:val="center"/>
            <w:shd w:val="clear" w:color="auto" w:fill="1F497D"/>
          </w:tcPr>
          <w:p>
            <w:pPr>
              <w:jc w:val="center"/>
            </w:pPr>
            <w:r>
              <w:rPr>
                <w:rFonts w:ascii="Times New Roman" w:hAnsi="Times New Roman"/>
                <w:b/>
                <w:color w:val="FFFFFF"/>
                <w:sz w:val="20"/>
              </w:rPr>
              <w:t>عدم انطباق افق</w:t>
            </w:r>
          </w:p>
        </w:tc>
      </w:tr>
      <w:tr>
        <w:tc>
          <w:tcPr>
            <w:tcW w:type="dxa" w:w="1247"/>
            <w:shd w:val="clear" w:color="auto" w:fill="EBF0F7"/>
          </w:tcPr>
          <w:p>
            <w:pPr>
              <w:jc w:val="center"/>
            </w:pPr>
            <w:r>
              <w:rPr>
                <w:rFonts w:ascii="Times New Roman" w:hAnsi="Times New Roman"/>
                <w:sz w:val="20"/>
              </w:rPr>
              <w:t>WTI</w:t>
            </w:r>
          </w:p>
        </w:tc>
        <w:tc>
          <w:tcPr>
            <w:tcW w:type="dxa" w:w="1814"/>
            <w:shd w:val="clear" w:color="auto" w:fill="EBF0F7"/>
          </w:tcPr>
          <w:p>
            <w:pPr>
              <w:jc w:val="center"/>
            </w:pPr>
            <w:r>
              <w:rPr>
                <w:rFonts w:ascii="Times New Roman" w:hAnsi="Times New Roman"/>
                <w:sz w:val="20"/>
              </w:rPr>
              <w:t>Baseline</w:t>
            </w:r>
          </w:p>
        </w:tc>
        <w:tc>
          <w:tcPr>
            <w:tcW w:type="dxa" w:w="1417"/>
            <w:shd w:val="clear" w:color="auto" w:fill="EBF0F7"/>
          </w:tcPr>
          <w:p>
            <w:pPr>
              <w:jc w:val="center"/>
            </w:pPr>
            <w:r>
              <w:rPr>
                <w:rFonts w:ascii="Times New Roman" w:hAnsi="Times New Roman"/>
                <w:sz w:val="20"/>
              </w:rPr>
              <w:t>10,425</w:t>
            </w:r>
          </w:p>
        </w:tc>
        <w:tc>
          <w:tcPr>
            <w:tcW w:type="dxa" w:w="1701"/>
            <w:shd w:val="clear" w:color="auto" w:fill="EBF0F7"/>
          </w:tcPr>
          <w:p>
            <w:pPr>
              <w:jc w:val="center"/>
            </w:pPr>
            <w:r>
              <w:rPr>
                <w:rFonts w:ascii="Times New Roman" w:hAnsi="Times New Roman"/>
                <w:sz w:val="20"/>
              </w:rPr>
              <w:t>100%</w:t>
            </w:r>
          </w:p>
        </w:tc>
        <w:tc>
          <w:tcPr>
            <w:tcW w:type="dxa" w:w="1417"/>
            <w:shd w:val="clear" w:color="auto" w:fill="EBF0F7"/>
          </w:tcPr>
          <w:p>
            <w:pPr>
              <w:jc w:val="center"/>
            </w:pPr>
            <w:r>
              <w:rPr>
                <w:rFonts w:ascii="Times New Roman" w:hAnsi="Times New Roman"/>
                <w:sz w:val="20"/>
              </w:rPr>
              <w:t>48.6%</w:t>
            </w:r>
          </w:p>
        </w:tc>
        <w:tc>
          <w:tcPr>
            <w:tcW w:type="dxa" w:w="1757"/>
            <w:shd w:val="clear" w:color="auto" w:fill="EBF0F7"/>
          </w:tcPr>
          <w:p>
            <w:pPr>
              <w:jc w:val="center"/>
            </w:pPr>
            <w:r>
              <w:rPr>
                <w:rFonts w:ascii="Times New Roman" w:hAnsi="Times New Roman"/>
                <w:sz w:val="20"/>
              </w:rPr>
              <w:t>100%*</w:t>
            </w:r>
          </w:p>
        </w:tc>
      </w:tr>
      <w:tr>
        <w:tc>
          <w:tcPr>
            <w:tcW w:type="dxa" w:w="1247"/>
            <w:shd w:val="clear" w:color="auto" w:fill="FFFFFF"/>
          </w:tcPr>
          <w:p>
            <w:pPr>
              <w:jc w:val="center"/>
            </w:pPr>
            <w:r>
              <w:rPr>
                <w:rFonts w:ascii="Times New Roman" w:hAnsi="Times New Roman"/>
                <w:sz w:val="20"/>
              </w:rPr>
              <w:t>WTI</w:t>
            </w:r>
          </w:p>
        </w:tc>
        <w:tc>
          <w:tcPr>
            <w:tcW w:type="dxa" w:w="1814"/>
            <w:shd w:val="clear" w:color="auto" w:fill="FFFFFF"/>
          </w:tcPr>
          <w:p>
            <w:pPr>
              <w:jc w:val="center"/>
            </w:pPr>
            <w:r>
              <w:rPr>
                <w:rFonts w:ascii="Times New Roman" w:hAnsi="Times New Roman"/>
                <w:sz w:val="20"/>
              </w:rPr>
              <w:t>Oracle All</w:t>
            </w:r>
          </w:p>
        </w:tc>
        <w:tc>
          <w:tcPr>
            <w:tcW w:type="dxa" w:w="1417"/>
            <w:shd w:val="clear" w:color="auto" w:fill="FFFFFF"/>
          </w:tcPr>
          <w:p>
            <w:pPr>
              <w:jc w:val="center"/>
            </w:pPr>
            <w:r>
              <w:rPr>
                <w:rFonts w:ascii="Times New Roman" w:hAnsi="Times New Roman"/>
                <w:sz w:val="20"/>
              </w:rPr>
              <w:t>29,032</w:t>
            </w:r>
          </w:p>
        </w:tc>
        <w:tc>
          <w:tcPr>
            <w:tcW w:type="dxa" w:w="1701"/>
            <w:shd w:val="clear" w:color="auto" w:fill="FFFFFF"/>
          </w:tcPr>
          <w:p>
            <w:pPr>
              <w:jc w:val="center"/>
            </w:pPr>
            <w:r>
              <w:rPr>
                <w:rFonts w:ascii="Times New Roman" w:hAnsi="Times New Roman"/>
                <w:sz w:val="20"/>
              </w:rPr>
              <w:t>100%</w:t>
            </w:r>
          </w:p>
        </w:tc>
        <w:tc>
          <w:tcPr>
            <w:tcW w:type="dxa" w:w="1417"/>
            <w:shd w:val="clear" w:color="auto" w:fill="FFFFFF"/>
          </w:tcPr>
          <w:p>
            <w:pPr>
              <w:jc w:val="center"/>
            </w:pPr>
            <w:r>
              <w:rPr>
                <w:rFonts w:ascii="Times New Roman" w:hAnsi="Times New Roman"/>
                <w:sz w:val="20"/>
              </w:rPr>
              <w:t>65.9%</w:t>
            </w:r>
          </w:p>
        </w:tc>
        <w:tc>
          <w:tcPr>
            <w:tcW w:type="dxa" w:w="1757"/>
            <w:shd w:val="clear" w:color="auto" w:fill="FFFFFF"/>
          </w:tcPr>
          <w:p>
            <w:pPr>
              <w:jc w:val="center"/>
            </w:pPr>
            <w:r>
              <w:rPr>
                <w:rFonts w:ascii="Times New Roman" w:hAnsi="Times New Roman"/>
                <w:sz w:val="20"/>
              </w:rPr>
              <w:t>86.7%</w:t>
            </w:r>
          </w:p>
        </w:tc>
      </w:tr>
      <w:tr>
        <w:tc>
          <w:tcPr>
            <w:tcW w:type="dxa" w:w="1247"/>
            <w:shd w:val="clear" w:color="auto" w:fill="EBF0F7"/>
          </w:tcPr>
          <w:p>
            <w:pPr>
              <w:jc w:val="center"/>
            </w:pPr>
            <w:r>
              <w:rPr>
                <w:rFonts w:ascii="Times New Roman" w:hAnsi="Times New Roman"/>
                <w:sz w:val="20"/>
              </w:rPr>
              <w:t>WTI</w:t>
            </w:r>
          </w:p>
        </w:tc>
        <w:tc>
          <w:tcPr>
            <w:tcW w:type="dxa" w:w="1814"/>
            <w:shd w:val="clear" w:color="auto" w:fill="EBF0F7"/>
          </w:tcPr>
          <w:p>
            <w:pPr>
              <w:jc w:val="center"/>
            </w:pPr>
            <w:r>
              <w:rPr>
                <w:rFonts w:ascii="Times New Roman" w:hAnsi="Times New Roman"/>
                <w:sz w:val="20"/>
              </w:rPr>
              <w:t>Oracle Universe</w:t>
            </w:r>
          </w:p>
        </w:tc>
        <w:tc>
          <w:tcPr>
            <w:tcW w:type="dxa" w:w="1417"/>
            <w:shd w:val="clear" w:color="auto" w:fill="EBF0F7"/>
          </w:tcPr>
          <w:p>
            <w:pPr>
              <w:jc w:val="center"/>
            </w:pPr>
            <w:r>
              <w:rPr>
                <w:rFonts w:ascii="Times New Roman" w:hAnsi="Times New Roman"/>
                <w:sz w:val="20"/>
              </w:rPr>
              <w:t>104,250</w:t>
            </w:r>
          </w:p>
        </w:tc>
        <w:tc>
          <w:tcPr>
            <w:tcW w:type="dxa" w:w="1701"/>
            <w:shd w:val="clear" w:color="auto" w:fill="EBF0F7"/>
          </w:tcPr>
          <w:p>
            <w:pPr>
              <w:jc w:val="center"/>
            </w:pPr>
            <w:r>
              <w:rPr>
                <w:rFonts w:ascii="Times New Roman" w:hAnsi="Times New Roman"/>
                <w:sz w:val="20"/>
              </w:rPr>
              <w:t>100%</w:t>
            </w:r>
          </w:p>
        </w:tc>
        <w:tc>
          <w:tcPr>
            <w:tcW w:type="dxa" w:w="1417"/>
            <w:shd w:val="clear" w:color="auto" w:fill="EBF0F7"/>
          </w:tcPr>
          <w:p>
            <w:pPr>
              <w:jc w:val="center"/>
            </w:pPr>
            <w:r>
              <w:rPr>
                <w:rFonts w:ascii="Times New Roman" w:hAnsi="Times New Roman"/>
                <w:sz w:val="20"/>
              </w:rPr>
              <w:t>66.0%</w:t>
            </w:r>
          </w:p>
        </w:tc>
        <w:tc>
          <w:tcPr>
            <w:tcW w:type="dxa" w:w="1757"/>
            <w:shd w:val="clear" w:color="auto" w:fill="EBF0F7"/>
          </w:tcPr>
          <w:p>
            <w:pPr>
              <w:jc w:val="center"/>
            </w:pPr>
            <w:r>
              <w:rPr>
                <w:rFonts w:ascii="Times New Roman" w:hAnsi="Times New Roman"/>
                <w:sz w:val="20"/>
              </w:rPr>
              <w:t>85.8%</w:t>
            </w:r>
          </w:p>
        </w:tc>
      </w:tr>
      <w:tr>
        <w:tc>
          <w:tcPr>
            <w:tcW w:type="dxa" w:w="1247"/>
            <w:shd w:val="clear" w:color="auto" w:fill="FFFFFF"/>
          </w:tcPr>
          <w:p>
            <w:pPr>
              <w:jc w:val="center"/>
            </w:pPr>
            <w:r>
              <w:rPr>
                <w:rFonts w:ascii="Times New Roman" w:hAnsi="Times New Roman"/>
                <w:sz w:val="20"/>
              </w:rPr>
              <w:t>Brent</w:t>
            </w:r>
          </w:p>
        </w:tc>
        <w:tc>
          <w:tcPr>
            <w:tcW w:type="dxa" w:w="1814"/>
            <w:shd w:val="clear" w:color="auto" w:fill="FFFFFF"/>
          </w:tcPr>
          <w:p>
            <w:pPr>
              <w:jc w:val="center"/>
            </w:pPr>
            <w:r>
              <w:rPr>
                <w:rFonts w:ascii="Times New Roman" w:hAnsi="Times New Roman"/>
                <w:sz w:val="20"/>
              </w:rPr>
              <w:t>Baseline</w:t>
            </w:r>
          </w:p>
        </w:tc>
        <w:tc>
          <w:tcPr>
            <w:tcW w:type="dxa" w:w="1417"/>
            <w:shd w:val="clear" w:color="auto" w:fill="FFFFFF"/>
          </w:tcPr>
          <w:p>
            <w:pPr>
              <w:jc w:val="center"/>
            </w:pPr>
            <w:r>
              <w:rPr>
                <w:rFonts w:ascii="Times New Roman" w:hAnsi="Times New Roman"/>
                <w:sz w:val="20"/>
              </w:rPr>
              <w:t>10,066</w:t>
            </w:r>
          </w:p>
        </w:tc>
        <w:tc>
          <w:tcPr>
            <w:tcW w:type="dxa" w:w="1701"/>
            <w:shd w:val="clear" w:color="auto" w:fill="FFFFFF"/>
          </w:tcPr>
          <w:p>
            <w:pPr>
              <w:jc w:val="center"/>
            </w:pPr>
            <w:r>
              <w:rPr>
                <w:rFonts w:ascii="Times New Roman" w:hAnsi="Times New Roman"/>
                <w:sz w:val="20"/>
              </w:rPr>
              <w:t>100%</w:t>
            </w:r>
          </w:p>
        </w:tc>
        <w:tc>
          <w:tcPr>
            <w:tcW w:type="dxa" w:w="1417"/>
            <w:shd w:val="clear" w:color="auto" w:fill="FFFFFF"/>
          </w:tcPr>
          <w:p>
            <w:pPr>
              <w:jc w:val="center"/>
            </w:pPr>
            <w:r>
              <w:rPr>
                <w:rFonts w:ascii="Times New Roman" w:hAnsi="Times New Roman"/>
                <w:sz w:val="20"/>
              </w:rPr>
              <w:t>50.8%</w:t>
            </w:r>
          </w:p>
        </w:tc>
        <w:tc>
          <w:tcPr>
            <w:tcW w:type="dxa" w:w="1757"/>
            <w:shd w:val="clear" w:color="auto" w:fill="FFFFFF"/>
          </w:tcPr>
          <w:p>
            <w:pPr>
              <w:jc w:val="center"/>
            </w:pPr>
            <w:r>
              <w:rPr>
                <w:rFonts w:ascii="Times New Roman" w:hAnsi="Times New Roman"/>
                <w:sz w:val="20"/>
              </w:rPr>
              <w:t>100%*</w:t>
            </w:r>
          </w:p>
        </w:tc>
      </w:tr>
      <w:tr>
        <w:tc>
          <w:tcPr>
            <w:tcW w:type="dxa" w:w="1247"/>
            <w:shd w:val="clear" w:color="auto" w:fill="EBF0F7"/>
          </w:tcPr>
          <w:p>
            <w:pPr>
              <w:jc w:val="center"/>
            </w:pPr>
            <w:r>
              <w:rPr>
                <w:rFonts w:ascii="Times New Roman" w:hAnsi="Times New Roman"/>
                <w:sz w:val="20"/>
              </w:rPr>
              <w:t>Brent</w:t>
            </w:r>
          </w:p>
        </w:tc>
        <w:tc>
          <w:tcPr>
            <w:tcW w:type="dxa" w:w="1814"/>
            <w:shd w:val="clear" w:color="auto" w:fill="EBF0F7"/>
          </w:tcPr>
          <w:p>
            <w:pPr>
              <w:jc w:val="center"/>
            </w:pPr>
            <w:r>
              <w:rPr>
                <w:rFonts w:ascii="Times New Roman" w:hAnsi="Times New Roman"/>
                <w:sz w:val="20"/>
              </w:rPr>
              <w:t>Oracle All</w:t>
            </w:r>
          </w:p>
        </w:tc>
        <w:tc>
          <w:tcPr>
            <w:tcW w:type="dxa" w:w="1417"/>
            <w:shd w:val="clear" w:color="auto" w:fill="EBF0F7"/>
          </w:tcPr>
          <w:p>
            <w:pPr>
              <w:jc w:val="center"/>
            </w:pPr>
            <w:r>
              <w:rPr>
                <w:rFonts w:ascii="Times New Roman" w:hAnsi="Times New Roman"/>
                <w:sz w:val="20"/>
              </w:rPr>
              <w:t>27,943</w:t>
            </w:r>
          </w:p>
        </w:tc>
        <w:tc>
          <w:tcPr>
            <w:tcW w:type="dxa" w:w="1701"/>
            <w:shd w:val="clear" w:color="auto" w:fill="EBF0F7"/>
          </w:tcPr>
          <w:p>
            <w:pPr>
              <w:jc w:val="center"/>
            </w:pPr>
            <w:r>
              <w:rPr>
                <w:rFonts w:ascii="Times New Roman" w:hAnsi="Times New Roman"/>
                <w:sz w:val="20"/>
              </w:rPr>
              <w:t>100%</w:t>
            </w:r>
          </w:p>
        </w:tc>
        <w:tc>
          <w:tcPr>
            <w:tcW w:type="dxa" w:w="1417"/>
            <w:shd w:val="clear" w:color="auto" w:fill="EBF0F7"/>
          </w:tcPr>
          <w:p>
            <w:pPr>
              <w:jc w:val="center"/>
            </w:pPr>
            <w:r>
              <w:rPr>
                <w:rFonts w:ascii="Times New Roman" w:hAnsi="Times New Roman"/>
                <w:sz w:val="20"/>
              </w:rPr>
              <w:t>66.9%</w:t>
            </w:r>
          </w:p>
        </w:tc>
        <w:tc>
          <w:tcPr>
            <w:tcW w:type="dxa" w:w="1757"/>
            <w:shd w:val="clear" w:color="auto" w:fill="EBF0F7"/>
          </w:tcPr>
          <w:p>
            <w:pPr>
              <w:jc w:val="center"/>
            </w:pPr>
            <w:r>
              <w:rPr>
                <w:rFonts w:ascii="Times New Roman" w:hAnsi="Times New Roman"/>
                <w:sz w:val="20"/>
              </w:rPr>
              <w:t>86.7%</w:t>
            </w:r>
          </w:p>
        </w:tc>
      </w:tr>
      <w:tr>
        <w:tc>
          <w:tcPr>
            <w:tcW w:type="dxa" w:w="1247"/>
            <w:shd w:val="clear" w:color="auto" w:fill="FFFFFF"/>
          </w:tcPr>
          <w:p>
            <w:pPr>
              <w:jc w:val="center"/>
            </w:pPr>
            <w:r>
              <w:rPr>
                <w:rFonts w:ascii="Times New Roman" w:hAnsi="Times New Roman"/>
                <w:sz w:val="20"/>
              </w:rPr>
              <w:t>Brent</w:t>
            </w:r>
          </w:p>
        </w:tc>
        <w:tc>
          <w:tcPr>
            <w:tcW w:type="dxa" w:w="1814"/>
            <w:shd w:val="clear" w:color="auto" w:fill="FFFFFF"/>
          </w:tcPr>
          <w:p>
            <w:pPr>
              <w:jc w:val="center"/>
            </w:pPr>
            <w:r>
              <w:rPr>
                <w:rFonts w:ascii="Times New Roman" w:hAnsi="Times New Roman"/>
                <w:sz w:val="20"/>
              </w:rPr>
              <w:t>Oracle Universe</w:t>
            </w:r>
          </w:p>
        </w:tc>
        <w:tc>
          <w:tcPr>
            <w:tcW w:type="dxa" w:w="1417"/>
            <w:shd w:val="clear" w:color="auto" w:fill="FFFFFF"/>
          </w:tcPr>
          <w:p>
            <w:pPr>
              <w:jc w:val="center"/>
            </w:pPr>
            <w:r>
              <w:rPr>
                <w:rFonts w:ascii="Times New Roman" w:hAnsi="Times New Roman"/>
                <w:sz w:val="20"/>
              </w:rPr>
              <w:t>100,660</w:t>
            </w:r>
          </w:p>
        </w:tc>
        <w:tc>
          <w:tcPr>
            <w:tcW w:type="dxa" w:w="1701"/>
            <w:shd w:val="clear" w:color="auto" w:fill="FFFFFF"/>
          </w:tcPr>
          <w:p>
            <w:pPr>
              <w:jc w:val="center"/>
            </w:pPr>
            <w:r>
              <w:rPr>
                <w:rFonts w:ascii="Times New Roman" w:hAnsi="Times New Roman"/>
                <w:sz w:val="20"/>
              </w:rPr>
              <w:t>100%</w:t>
            </w:r>
          </w:p>
        </w:tc>
        <w:tc>
          <w:tcPr>
            <w:tcW w:type="dxa" w:w="1417"/>
            <w:shd w:val="clear" w:color="auto" w:fill="FFFFFF"/>
          </w:tcPr>
          <w:p>
            <w:pPr>
              <w:jc w:val="center"/>
            </w:pPr>
            <w:r>
              <w:rPr>
                <w:rFonts w:ascii="Times New Roman" w:hAnsi="Times New Roman"/>
                <w:sz w:val="20"/>
              </w:rPr>
              <w:t>67.0%</w:t>
            </w:r>
          </w:p>
        </w:tc>
        <w:tc>
          <w:tcPr>
            <w:tcW w:type="dxa" w:w="1757"/>
            <w:shd w:val="clear" w:color="auto" w:fill="FFFFFF"/>
          </w:tcPr>
          <w:p>
            <w:pPr>
              <w:jc w:val="center"/>
            </w:pPr>
            <w:r>
              <w:rPr>
                <w:rFonts w:ascii="Times New Roman" w:hAnsi="Times New Roman"/>
                <w:sz w:val="20"/>
              </w:rPr>
              <w:t>85.9%</w:t>
            </w:r>
          </w:p>
        </w:tc>
      </w:tr>
      <w:tr>
        <w:tc>
          <w:tcPr>
            <w:tcW w:type="dxa" w:w="1247"/>
            <w:shd w:val="clear" w:color="auto" w:fill="EBF0F7"/>
          </w:tcPr>
          <w:p>
            <w:pPr>
              <w:jc w:val="center"/>
            </w:pPr>
            <w:r>
              <w:rPr>
                <w:rFonts w:ascii="Times New Roman" w:hAnsi="Times New Roman"/>
                <w:sz w:val="20"/>
              </w:rPr>
              <w:t>OPEC</w:t>
            </w:r>
          </w:p>
        </w:tc>
        <w:tc>
          <w:tcPr>
            <w:tcW w:type="dxa" w:w="1814"/>
            <w:shd w:val="clear" w:color="auto" w:fill="EBF0F7"/>
          </w:tcPr>
          <w:p>
            <w:pPr>
              <w:jc w:val="center"/>
            </w:pPr>
            <w:r>
              <w:rPr>
                <w:rFonts w:ascii="Times New Roman" w:hAnsi="Times New Roman"/>
                <w:sz w:val="20"/>
              </w:rPr>
              <w:t>Baseline</w:t>
            </w:r>
          </w:p>
        </w:tc>
        <w:tc>
          <w:tcPr>
            <w:tcW w:type="dxa" w:w="1417"/>
            <w:shd w:val="clear" w:color="auto" w:fill="EBF0F7"/>
          </w:tcPr>
          <w:p>
            <w:pPr>
              <w:jc w:val="center"/>
            </w:pPr>
            <w:r>
              <w:rPr>
                <w:rFonts w:ascii="Times New Roman" w:hAnsi="Times New Roman"/>
                <w:sz w:val="20"/>
              </w:rPr>
              <w:t>5,990</w:t>
            </w:r>
          </w:p>
        </w:tc>
        <w:tc>
          <w:tcPr>
            <w:tcW w:type="dxa" w:w="1701"/>
            <w:shd w:val="clear" w:color="auto" w:fill="EBF0F7"/>
          </w:tcPr>
          <w:p>
            <w:pPr>
              <w:jc w:val="center"/>
            </w:pPr>
            <w:r>
              <w:rPr>
                <w:rFonts w:ascii="Times New Roman" w:hAnsi="Times New Roman"/>
                <w:sz w:val="20"/>
              </w:rPr>
              <w:t>100%</w:t>
            </w:r>
          </w:p>
        </w:tc>
        <w:tc>
          <w:tcPr>
            <w:tcW w:type="dxa" w:w="1417"/>
            <w:shd w:val="clear" w:color="auto" w:fill="EBF0F7"/>
          </w:tcPr>
          <w:p>
            <w:pPr>
              <w:jc w:val="center"/>
            </w:pPr>
            <w:r>
              <w:rPr>
                <w:rFonts w:ascii="Times New Roman" w:hAnsi="Times New Roman"/>
                <w:sz w:val="20"/>
              </w:rPr>
              <w:t>47.4%</w:t>
            </w:r>
          </w:p>
        </w:tc>
        <w:tc>
          <w:tcPr>
            <w:tcW w:type="dxa" w:w="1757"/>
            <w:shd w:val="clear" w:color="auto" w:fill="EBF0F7"/>
          </w:tcPr>
          <w:p>
            <w:pPr>
              <w:jc w:val="center"/>
            </w:pPr>
            <w:r>
              <w:rPr>
                <w:rFonts w:ascii="Times New Roman" w:hAnsi="Times New Roman"/>
                <w:sz w:val="20"/>
              </w:rPr>
              <w:t>100%*</w:t>
            </w:r>
          </w:p>
        </w:tc>
      </w:tr>
      <w:tr>
        <w:tc>
          <w:tcPr>
            <w:tcW w:type="dxa" w:w="1247"/>
            <w:shd w:val="clear" w:color="auto" w:fill="FFFFFF"/>
          </w:tcPr>
          <w:p>
            <w:pPr>
              <w:jc w:val="center"/>
            </w:pPr>
            <w:r>
              <w:rPr>
                <w:rFonts w:ascii="Times New Roman" w:hAnsi="Times New Roman"/>
                <w:sz w:val="20"/>
              </w:rPr>
              <w:t>OPEC</w:t>
            </w:r>
          </w:p>
        </w:tc>
        <w:tc>
          <w:tcPr>
            <w:tcW w:type="dxa" w:w="1814"/>
            <w:shd w:val="clear" w:color="auto" w:fill="FFFFFF"/>
          </w:tcPr>
          <w:p>
            <w:pPr>
              <w:jc w:val="center"/>
            </w:pPr>
            <w:r>
              <w:rPr>
                <w:rFonts w:ascii="Times New Roman" w:hAnsi="Times New Roman"/>
                <w:sz w:val="20"/>
              </w:rPr>
              <w:t>Oracle All</w:t>
            </w:r>
          </w:p>
        </w:tc>
        <w:tc>
          <w:tcPr>
            <w:tcW w:type="dxa" w:w="1417"/>
            <w:shd w:val="clear" w:color="auto" w:fill="FFFFFF"/>
          </w:tcPr>
          <w:p>
            <w:pPr>
              <w:jc w:val="center"/>
            </w:pPr>
            <w:r>
              <w:rPr>
                <w:rFonts w:ascii="Times New Roman" w:hAnsi="Times New Roman"/>
                <w:sz w:val="20"/>
              </w:rPr>
              <w:t>16,579</w:t>
            </w:r>
          </w:p>
        </w:tc>
        <w:tc>
          <w:tcPr>
            <w:tcW w:type="dxa" w:w="1701"/>
            <w:shd w:val="clear" w:color="auto" w:fill="FFFFFF"/>
          </w:tcPr>
          <w:p>
            <w:pPr>
              <w:jc w:val="center"/>
            </w:pPr>
            <w:r>
              <w:rPr>
                <w:rFonts w:ascii="Times New Roman" w:hAnsi="Times New Roman"/>
                <w:sz w:val="20"/>
              </w:rPr>
              <w:t>100%</w:t>
            </w:r>
          </w:p>
        </w:tc>
        <w:tc>
          <w:tcPr>
            <w:tcW w:type="dxa" w:w="1417"/>
            <w:shd w:val="clear" w:color="auto" w:fill="FFFFFF"/>
          </w:tcPr>
          <w:p>
            <w:pPr>
              <w:jc w:val="center"/>
            </w:pPr>
            <w:r>
              <w:rPr>
                <w:rFonts w:ascii="Times New Roman" w:hAnsi="Times New Roman"/>
                <w:sz w:val="20"/>
              </w:rPr>
              <w:t>63.6%</w:t>
            </w:r>
          </w:p>
        </w:tc>
        <w:tc>
          <w:tcPr>
            <w:tcW w:type="dxa" w:w="1757"/>
            <w:shd w:val="clear" w:color="auto" w:fill="FFFFFF"/>
          </w:tcPr>
          <w:p>
            <w:pPr>
              <w:jc w:val="center"/>
            </w:pPr>
            <w:r>
              <w:rPr>
                <w:rFonts w:ascii="Times New Roman" w:hAnsi="Times New Roman"/>
                <w:sz w:val="20"/>
              </w:rPr>
              <w:t>86.7%</w:t>
            </w:r>
          </w:p>
        </w:tc>
      </w:tr>
      <w:tr>
        <w:tc>
          <w:tcPr>
            <w:tcW w:type="dxa" w:w="1247"/>
            <w:shd w:val="clear" w:color="auto" w:fill="EBF0F7"/>
          </w:tcPr>
          <w:p>
            <w:pPr>
              <w:jc w:val="center"/>
            </w:pPr>
            <w:r>
              <w:rPr>
                <w:rFonts w:ascii="Times New Roman" w:hAnsi="Times New Roman"/>
                <w:sz w:val="20"/>
              </w:rPr>
              <w:t>OPEC</w:t>
            </w:r>
          </w:p>
        </w:tc>
        <w:tc>
          <w:tcPr>
            <w:tcW w:type="dxa" w:w="1814"/>
            <w:shd w:val="clear" w:color="auto" w:fill="EBF0F7"/>
          </w:tcPr>
          <w:p>
            <w:pPr>
              <w:jc w:val="center"/>
            </w:pPr>
            <w:r>
              <w:rPr>
                <w:rFonts w:ascii="Times New Roman" w:hAnsi="Times New Roman"/>
                <w:sz w:val="20"/>
              </w:rPr>
              <w:t>Oracle Universe</w:t>
            </w:r>
          </w:p>
        </w:tc>
        <w:tc>
          <w:tcPr>
            <w:tcW w:type="dxa" w:w="1417"/>
            <w:shd w:val="clear" w:color="auto" w:fill="EBF0F7"/>
          </w:tcPr>
          <w:p>
            <w:pPr>
              <w:jc w:val="center"/>
            </w:pPr>
            <w:r>
              <w:rPr>
                <w:rFonts w:ascii="Times New Roman" w:hAnsi="Times New Roman"/>
                <w:sz w:val="20"/>
              </w:rPr>
              <w:t>59,900</w:t>
            </w:r>
          </w:p>
        </w:tc>
        <w:tc>
          <w:tcPr>
            <w:tcW w:type="dxa" w:w="1701"/>
            <w:shd w:val="clear" w:color="auto" w:fill="EBF0F7"/>
          </w:tcPr>
          <w:p>
            <w:pPr>
              <w:jc w:val="center"/>
            </w:pPr>
            <w:r>
              <w:rPr>
                <w:rFonts w:ascii="Times New Roman" w:hAnsi="Times New Roman"/>
                <w:sz w:val="20"/>
              </w:rPr>
              <w:t>100%</w:t>
            </w:r>
          </w:p>
        </w:tc>
        <w:tc>
          <w:tcPr>
            <w:tcW w:type="dxa" w:w="1417"/>
            <w:shd w:val="clear" w:color="auto" w:fill="EBF0F7"/>
          </w:tcPr>
          <w:p>
            <w:pPr>
              <w:jc w:val="center"/>
            </w:pPr>
            <w:r>
              <w:rPr>
                <w:rFonts w:ascii="Times New Roman" w:hAnsi="Times New Roman"/>
                <w:sz w:val="20"/>
              </w:rPr>
              <w:t>64.0%</w:t>
            </w:r>
          </w:p>
        </w:tc>
        <w:tc>
          <w:tcPr>
            <w:tcW w:type="dxa" w:w="1757"/>
            <w:shd w:val="clear" w:color="auto" w:fill="EBF0F7"/>
          </w:tcPr>
          <w:p>
            <w:pPr>
              <w:jc w:val="center"/>
            </w:pPr>
            <w:r>
              <w:rPr>
                <w:rFonts w:ascii="Times New Roman" w:hAnsi="Times New Roman"/>
                <w:sz w:val="20"/>
              </w:rPr>
              <w:t>85.7%</w:t>
            </w:r>
          </w:p>
        </w:tc>
      </w:tr>
    </w:tbl>
    <w:p>
      <w:pPr>
        <w:spacing w:before="40" w:after="160"/>
        <w:jc w:val="center"/>
      </w:pPr>
      <w:r>
        <w:rPr>
          <w:rFonts w:ascii="Times New Roman" w:hAnsi="Times New Roman"/>
          <w:b/>
          <w:sz w:val="20"/>
        </w:rPr>
        <w:t xml:space="preserve">جدول 4.7 — </w:t>
      </w:r>
      <w:r>
        <w:rPr>
          <w:rFonts w:ascii="Times New Roman" w:hAnsi="Times New Roman"/>
          <w:i/>
          <w:sz w:val="20"/>
        </w:rPr>
        <w:t>نتایج آدیت کیفیت سناریوها — * عدم انطباق ۱۰۰٪ در Baseline مشخصه طراحی است نه خطا</w:t>
      </w:r>
    </w:p>
    <w:p>
      <w:pPr>
        <w:spacing w:before="80"/>
        <w:jc w:val="center"/>
      </w:pPr>
      <w:r>
        <w:drawing>
          <wp:inline xmlns:a="http://schemas.openxmlformats.org/drawingml/2006/main" xmlns:pic="http://schemas.openxmlformats.org/drawingml/2006/picture">
            <wp:extent cx="4680000" cy="2808000"/>
            <wp:docPr id="1" name="Picture 1"/>
            <wp:cNvGraphicFramePr>
              <a:graphicFrameLocks noChangeAspect="1"/>
            </wp:cNvGraphicFramePr>
            <a:graphic>
              <a:graphicData uri="http://schemas.openxmlformats.org/drawingml/2006/picture">
                <pic:pic>
                  <pic:nvPicPr>
                    <pic:cNvPr id="0" name="plot_start_year_counts.png"/>
                    <pic:cNvPicPr/>
                  </pic:nvPicPr>
                  <pic:blipFill>
                    <a:blip r:embed="rId9"/>
                    <a:stretch>
                      <a:fillRect/>
                    </a:stretch>
                  </pic:blipFill>
                  <pic:spPr>
                    <a:xfrm>
                      <a:off x="0" y="0"/>
                      <a:ext cx="4680000" cy="2808000"/>
                    </a:xfrm>
                    <a:prstGeom prst="rect"/>
                  </pic:spPr>
                </pic:pic>
              </a:graphicData>
            </a:graphic>
          </wp:inline>
        </w:drawing>
      </w:r>
    </w:p>
    <w:p>
      <w:pPr>
        <w:spacing w:before="40" w:after="160"/>
        <w:jc w:val="center"/>
      </w:pPr>
      <w:r>
        <w:rPr>
          <w:rFonts w:ascii="Times New Roman" w:hAnsi="Times New Roman"/>
          <w:b/>
          <w:sz w:val="20"/>
        </w:rPr>
        <w:t xml:space="preserve">شکل 4.11 — </w:t>
      </w:r>
      <w:r>
        <w:rPr>
          <w:rFonts w:ascii="Times New Roman" w:hAnsi="Times New Roman"/>
          <w:i/>
          <w:sz w:val="20"/>
        </w:rPr>
        <w:t>توزیع سناریوهای Baseline WTI بر اساس سال شروع (1986–2025)</w:t>
      </w:r>
    </w:p>
    <w:p>
      <w:pPr>
        <w:spacing w:before="80"/>
        <w:jc w:val="center"/>
      </w:pPr>
      <w:r>
        <w:drawing>
          <wp:inline xmlns:a="http://schemas.openxmlformats.org/drawingml/2006/main" xmlns:pic="http://schemas.openxmlformats.org/drawingml/2006/picture">
            <wp:extent cx="4680000" cy="2808000"/>
            <wp:docPr id="2" name="Picture 2"/>
            <wp:cNvGraphicFramePr>
              <a:graphicFrameLocks noChangeAspect="1"/>
            </wp:cNvGraphicFramePr>
            <a:graphic>
              <a:graphicData uri="http://schemas.openxmlformats.org/drawingml/2006/picture">
                <pic:pic>
                  <pic:nvPicPr>
                    <pic:cNvPr id="0" name="plot_horizon_hist.png"/>
                    <pic:cNvPicPr/>
                  </pic:nvPicPr>
                  <pic:blipFill>
                    <a:blip r:embed="rId10"/>
                    <a:stretch>
                      <a:fillRect/>
                    </a:stretch>
                  </pic:blipFill>
                  <pic:spPr>
                    <a:xfrm>
                      <a:off x="0" y="0"/>
                      <a:ext cx="4680000" cy="2808000"/>
                    </a:xfrm>
                    <a:prstGeom prst="rect"/>
                  </pic:spPr>
                </pic:pic>
              </a:graphicData>
            </a:graphic>
          </wp:inline>
        </w:drawing>
      </w:r>
    </w:p>
    <w:p>
      <w:pPr>
        <w:spacing w:before="40" w:after="160"/>
        <w:jc w:val="center"/>
      </w:pPr>
      <w:r>
        <w:rPr>
          <w:rFonts w:ascii="Times New Roman" w:hAnsi="Times New Roman"/>
          <w:b/>
          <w:sz w:val="20"/>
        </w:rPr>
        <w:t xml:space="preserve">شکل 4.12 — </w:t>
      </w:r>
      <w:r>
        <w:rPr>
          <w:rFonts w:ascii="Times New Roman" w:hAnsi="Times New Roman"/>
          <w:i/>
          <w:sz w:val="20"/>
        </w:rPr>
        <w:t>توزیع افق زمانی سناریوهای Oracle All — WTI (20 تا 40 روز معاملاتی)</w:t>
      </w:r>
    </w:p>
    <w:p>
      <w:pPr>
        <w:spacing w:before="80"/>
        <w:jc w:val="center"/>
      </w:pPr>
      <w:r>
        <w:drawing>
          <wp:inline xmlns:a="http://schemas.openxmlformats.org/drawingml/2006/main" xmlns:pic="http://schemas.openxmlformats.org/drawingml/2006/picture">
            <wp:extent cx="4680000" cy="2808000"/>
            <wp:docPr id="3" name="Picture 3"/>
            <wp:cNvGraphicFramePr>
              <a:graphicFrameLocks noChangeAspect="1"/>
            </wp:cNvGraphicFramePr>
            <a:graphic>
              <a:graphicData uri="http://schemas.openxmlformats.org/drawingml/2006/picture">
                <pic:pic>
                  <pic:nvPicPr>
                    <pic:cNvPr id="0" name="plot_start_year_counts.png"/>
                    <pic:cNvPicPr/>
                  </pic:nvPicPr>
                  <pic:blipFill>
                    <a:blip r:embed="rId11"/>
                    <a:stretch>
                      <a:fillRect/>
                    </a:stretch>
                  </pic:blipFill>
                  <pic:spPr>
                    <a:xfrm>
                      <a:off x="0" y="0"/>
                      <a:ext cx="4680000" cy="2808000"/>
                    </a:xfrm>
                    <a:prstGeom prst="rect"/>
                  </pic:spPr>
                </pic:pic>
              </a:graphicData>
            </a:graphic>
          </wp:inline>
        </w:drawing>
      </w:r>
    </w:p>
    <w:p>
      <w:pPr>
        <w:spacing w:before="40" w:after="160"/>
        <w:jc w:val="center"/>
      </w:pPr>
      <w:r>
        <w:rPr>
          <w:rFonts w:ascii="Times New Roman" w:hAnsi="Times New Roman"/>
          <w:b/>
          <w:sz w:val="20"/>
        </w:rPr>
        <w:t xml:space="preserve">شکل 4.13 — </w:t>
      </w:r>
      <w:r>
        <w:rPr>
          <w:rFonts w:ascii="Times New Roman" w:hAnsi="Times New Roman"/>
          <w:i/>
          <w:sz w:val="20"/>
        </w:rPr>
        <w:t>توزیع سناریوهای Baseline OPEC Basket بر اساس سال شروع (2003–2025)</w:t>
      </w:r>
    </w:p>
    <w:p>
      <w:pPr>
        <w:spacing w:before="80"/>
        <w:jc w:val="center"/>
      </w:pPr>
      <w:r>
        <w:drawing>
          <wp:inline xmlns:a="http://schemas.openxmlformats.org/drawingml/2006/main" xmlns:pic="http://schemas.openxmlformats.org/drawingml/2006/picture">
            <wp:extent cx="4680000" cy="2808000"/>
            <wp:docPr id="4" name="Picture 4"/>
            <wp:cNvGraphicFramePr>
              <a:graphicFrameLocks noChangeAspect="1"/>
            </wp:cNvGraphicFramePr>
            <a:graphic>
              <a:graphicData uri="http://schemas.openxmlformats.org/drawingml/2006/picture">
                <pic:pic>
                  <pic:nvPicPr>
                    <pic:cNvPr id="0" name="plot_missing_rate_by_year.png"/>
                    <pic:cNvPicPr/>
                  </pic:nvPicPr>
                  <pic:blipFill>
                    <a:blip r:embed="rId12"/>
                    <a:stretch>
                      <a:fillRect/>
                    </a:stretch>
                  </pic:blipFill>
                  <pic:spPr>
                    <a:xfrm>
                      <a:off x="0" y="0"/>
                      <a:ext cx="4680000" cy="2808000"/>
                    </a:xfrm>
                    <a:prstGeom prst="rect"/>
                  </pic:spPr>
                </pic:pic>
              </a:graphicData>
            </a:graphic>
          </wp:inline>
        </w:drawing>
      </w:r>
    </w:p>
    <w:p>
      <w:pPr>
        <w:spacing w:before="40" w:after="160"/>
        <w:jc w:val="center"/>
      </w:pPr>
      <w:r>
        <w:rPr>
          <w:rFonts w:ascii="Times New Roman" w:hAnsi="Times New Roman"/>
          <w:b/>
          <w:sz w:val="20"/>
        </w:rPr>
        <w:t xml:space="preserve">شکل 4.14 — </w:t>
      </w:r>
      <w:r>
        <w:rPr>
          <w:rFonts w:ascii="Times New Roman" w:hAnsi="Times New Roman"/>
          <w:i/>
          <w:sz w:val="20"/>
        </w:rPr>
        <w:t>نرخ داده گمشده در سناریوهای WTI بر اساس سال — افت در سال‌های اولیه</w:t>
      </w:r>
    </w:p>
    <w:p/>
    <w:p>
      <w:pPr>
        <w:pStyle w:val="Heading2"/>
      </w:pPr>
      <w:r>
        <w:t>4.4  تنظیمات آزمایشی SAC</w:t>
      </w:r>
    </w:p>
    <w:p>
      <w:pPr>
        <w:ind w:firstLine="425"/>
        <w:jc w:val="both"/>
      </w:pPr>
      <w:r>
        <w:t>الگوریتم SAC (Soft Actor-Critic) به عنوان هسته یادگیری تقویتی این پژوهش انتخاب شده است. SAC یک الگوریتم بازیگر-منتقد خارج از سیاست (off-policy) با حداکثرسازی آنتروپی است که به دلیل پایداری آموزش، کارایی نمونه بالا، و عملکرد مطلوب در فضاهای عمل پیوسته برای این وظیفه مناسب است.</w:t>
      </w:r>
    </w:p>
    <w:p>
      <w:pPr>
        <w:pStyle w:val="Heading3"/>
      </w:pPr>
      <w:r>
        <w:t>4.4.1  پارامترهای مدل SAC</w:t>
      </w:r>
    </w:p>
    <w:p>
      <w:pPr>
        <w:ind w:firstLine="425"/>
        <w:jc w:val="both"/>
      </w:pPr>
      <w:r>
        <w:t>جدول ۴.۸ پارامترهای کامل مدل SAC را نشان می‌دهد. معماری شبکه عصبی شامل دو لایه پنهان با ۱۲۸ نرون است که برای بازیگر (actor) و منتقد (critic) به کار می‌رود. ضریب تخفیف γ=0.995 انتخاب شده تا پاداش‌های آینده به اندازه کافی در نظر گرفته شوند.</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val="clear" w:color="auto" w:fill="1F497D"/>
          </w:tcPr>
          <w:p>
            <w:pPr>
              <w:jc w:val="center"/>
            </w:pPr>
            <w:r>
              <w:rPr>
                <w:rFonts w:ascii="Times New Roman" w:hAnsi="Times New Roman"/>
                <w:b/>
                <w:color w:val="FFFFFF"/>
                <w:sz w:val="20"/>
              </w:rPr>
              <w:t>دسته پارامتر</w:t>
            </w:r>
          </w:p>
        </w:tc>
        <w:tc>
          <w:tcPr>
            <w:tcW w:type="dxa" w:w="2835"/>
            <w:vAlign w:val="center"/>
            <w:shd w:val="clear" w:color="auto" w:fill="1F497D"/>
          </w:tcPr>
          <w:p>
            <w:pPr>
              <w:jc w:val="center"/>
            </w:pPr>
            <w:r>
              <w:rPr>
                <w:rFonts w:ascii="Times New Roman" w:hAnsi="Times New Roman"/>
                <w:b/>
                <w:color w:val="FFFFFF"/>
                <w:sz w:val="20"/>
              </w:rPr>
              <w:t>پارامتر</w:t>
            </w:r>
          </w:p>
        </w:tc>
        <w:tc>
          <w:tcPr>
            <w:tcW w:type="dxa" w:w="3402"/>
            <w:vAlign w:val="center"/>
            <w:shd w:val="clear" w:color="auto" w:fill="1F497D"/>
          </w:tcPr>
          <w:p>
            <w:pPr>
              <w:jc w:val="center"/>
            </w:pPr>
            <w:r>
              <w:rPr>
                <w:rFonts w:ascii="Times New Roman" w:hAnsi="Times New Roman"/>
                <w:b/>
                <w:color w:val="FFFFFF"/>
                <w:sz w:val="20"/>
              </w:rPr>
              <w:t>مقدار</w:t>
            </w:r>
          </w:p>
        </w:tc>
      </w:tr>
      <w:tr>
        <w:tc>
          <w:tcPr>
            <w:tcW w:type="dxa" w:w="2268"/>
            <w:shd w:val="clear" w:color="auto" w:fill="EBF0F7"/>
          </w:tcPr>
          <w:p>
            <w:pPr>
              <w:jc w:val="center"/>
            </w:pPr>
            <w:r>
              <w:rPr>
                <w:rFonts w:ascii="Times New Roman" w:hAnsi="Times New Roman"/>
                <w:sz w:val="20"/>
              </w:rPr>
              <w:t>الگوریتم</w:t>
            </w:r>
          </w:p>
        </w:tc>
        <w:tc>
          <w:tcPr>
            <w:tcW w:type="dxa" w:w="2835"/>
            <w:shd w:val="clear" w:color="auto" w:fill="EBF0F7"/>
          </w:tcPr>
          <w:p>
            <w:pPr>
              <w:jc w:val="center"/>
            </w:pPr>
            <w:r>
              <w:rPr>
                <w:rFonts w:ascii="Times New Roman" w:hAnsi="Times New Roman"/>
                <w:sz w:val="20"/>
              </w:rPr>
              <w:t>نوع</w:t>
            </w:r>
          </w:p>
        </w:tc>
        <w:tc>
          <w:tcPr>
            <w:tcW w:type="dxa" w:w="3402"/>
            <w:shd w:val="clear" w:color="auto" w:fill="EBF0F7"/>
          </w:tcPr>
          <w:p>
            <w:pPr>
              <w:jc w:val="center"/>
            </w:pPr>
            <w:r>
              <w:rPr>
                <w:rFonts w:ascii="Times New Roman" w:hAnsi="Times New Roman"/>
                <w:sz w:val="20"/>
              </w:rPr>
              <w:t>SAC (Soft Actor-Critic)</w:t>
            </w:r>
          </w:p>
        </w:tc>
      </w:tr>
      <w:tr>
        <w:tc>
          <w:tcPr>
            <w:tcW w:type="dxa" w:w="2268"/>
            <w:shd w:val="clear" w:color="auto" w:fill="FFFFFF"/>
          </w:tcPr>
          <w:p>
            <w:pPr>
              <w:jc w:val="center"/>
            </w:pPr>
            <w:r>
              <w:rPr>
                <w:rFonts w:ascii="Times New Roman" w:hAnsi="Times New Roman"/>
                <w:sz w:val="20"/>
              </w:rPr>
              <w:t>شبکه</w:t>
            </w:r>
          </w:p>
        </w:tc>
        <w:tc>
          <w:tcPr>
            <w:tcW w:type="dxa" w:w="2835"/>
            <w:shd w:val="clear" w:color="auto" w:fill="FFFFFF"/>
          </w:tcPr>
          <w:p>
            <w:pPr>
              <w:jc w:val="center"/>
            </w:pPr>
            <w:r>
              <w:rPr>
                <w:rFonts w:ascii="Times New Roman" w:hAnsi="Times New Roman"/>
                <w:sz w:val="20"/>
              </w:rPr>
              <w:t>معماری</w:t>
            </w:r>
          </w:p>
        </w:tc>
        <w:tc>
          <w:tcPr>
            <w:tcW w:type="dxa" w:w="3402"/>
            <w:shd w:val="clear" w:color="auto" w:fill="FFFFFF"/>
          </w:tcPr>
          <w:p>
            <w:pPr>
              <w:jc w:val="center"/>
            </w:pPr>
            <w:r>
              <w:rPr>
                <w:rFonts w:ascii="Times New Roman" w:hAnsi="Times New Roman"/>
                <w:sz w:val="20"/>
              </w:rPr>
              <w:t>128 × 128 (دو لایه پنهان)</w:t>
            </w:r>
          </w:p>
        </w:tc>
      </w:tr>
      <w:tr>
        <w:tc>
          <w:tcPr>
            <w:tcW w:type="dxa" w:w="2268"/>
            <w:shd w:val="clear" w:color="auto" w:fill="EBF0F7"/>
          </w:tcPr>
          <w:p>
            <w:pPr>
              <w:jc w:val="center"/>
            </w:pPr>
            <w:r>
              <w:rPr>
                <w:rFonts w:ascii="Times New Roman" w:hAnsi="Times New Roman"/>
                <w:sz w:val="20"/>
              </w:rPr>
              <w:t>شبکه</w:t>
            </w:r>
          </w:p>
        </w:tc>
        <w:tc>
          <w:tcPr>
            <w:tcW w:type="dxa" w:w="2835"/>
            <w:shd w:val="clear" w:color="auto" w:fill="EBF0F7"/>
          </w:tcPr>
          <w:p>
            <w:pPr>
              <w:jc w:val="center"/>
            </w:pPr>
            <w:r>
              <w:rPr>
                <w:rFonts w:ascii="Times New Roman" w:hAnsi="Times New Roman"/>
                <w:sz w:val="20"/>
              </w:rPr>
              <w:t>نرخ یادگیری</w:t>
            </w:r>
          </w:p>
        </w:tc>
        <w:tc>
          <w:tcPr>
            <w:tcW w:type="dxa" w:w="3402"/>
            <w:shd w:val="clear" w:color="auto" w:fill="EBF0F7"/>
          </w:tcPr>
          <w:p>
            <w:pPr>
              <w:jc w:val="center"/>
            </w:pPr>
            <w:r>
              <w:rPr>
                <w:rFonts w:ascii="Times New Roman" w:hAnsi="Times New Roman"/>
                <w:sz w:val="20"/>
              </w:rPr>
              <w:t>0.0003</w:t>
            </w:r>
          </w:p>
        </w:tc>
      </w:tr>
      <w:tr>
        <w:tc>
          <w:tcPr>
            <w:tcW w:type="dxa" w:w="2268"/>
            <w:shd w:val="clear" w:color="auto" w:fill="FFFFFF"/>
          </w:tcPr>
          <w:p>
            <w:pPr>
              <w:jc w:val="center"/>
            </w:pPr>
            <w:r>
              <w:rPr>
                <w:rFonts w:ascii="Times New Roman" w:hAnsi="Times New Roman"/>
                <w:sz w:val="20"/>
              </w:rPr>
              <w:t>شبکه</w:t>
            </w:r>
          </w:p>
        </w:tc>
        <w:tc>
          <w:tcPr>
            <w:tcW w:type="dxa" w:w="2835"/>
            <w:shd w:val="clear" w:color="auto" w:fill="FFFFFF"/>
          </w:tcPr>
          <w:p>
            <w:pPr>
              <w:jc w:val="center"/>
            </w:pPr>
            <w:r>
              <w:rPr>
                <w:rFonts w:ascii="Times New Roman" w:hAnsi="Times New Roman"/>
                <w:sz w:val="20"/>
              </w:rPr>
              <w:t>اندازه بافر تجربه</w:t>
            </w:r>
          </w:p>
        </w:tc>
        <w:tc>
          <w:tcPr>
            <w:tcW w:type="dxa" w:w="3402"/>
            <w:shd w:val="clear" w:color="auto" w:fill="FFFFFF"/>
          </w:tcPr>
          <w:p>
            <w:pPr>
              <w:jc w:val="center"/>
            </w:pPr>
            <w:r>
              <w:rPr>
                <w:rFonts w:ascii="Times New Roman" w:hAnsi="Times New Roman"/>
                <w:sz w:val="20"/>
              </w:rPr>
              <w:t>100,000</w:t>
            </w:r>
          </w:p>
        </w:tc>
      </w:tr>
      <w:tr>
        <w:tc>
          <w:tcPr>
            <w:tcW w:type="dxa" w:w="2268"/>
            <w:shd w:val="clear" w:color="auto" w:fill="EBF0F7"/>
          </w:tcPr>
          <w:p>
            <w:pPr>
              <w:jc w:val="center"/>
            </w:pPr>
            <w:r>
              <w:rPr>
                <w:rFonts w:ascii="Times New Roman" w:hAnsi="Times New Roman"/>
                <w:sz w:val="20"/>
              </w:rPr>
              <w:t>شبکه</w:t>
            </w:r>
          </w:p>
        </w:tc>
        <w:tc>
          <w:tcPr>
            <w:tcW w:type="dxa" w:w="2835"/>
            <w:shd w:val="clear" w:color="auto" w:fill="EBF0F7"/>
          </w:tcPr>
          <w:p>
            <w:pPr>
              <w:jc w:val="center"/>
            </w:pPr>
            <w:r>
              <w:rPr>
                <w:rFonts w:ascii="Times New Roman" w:hAnsi="Times New Roman"/>
                <w:sz w:val="20"/>
              </w:rPr>
              <w:t>اندازه دسته آموزشی</w:t>
            </w:r>
          </w:p>
        </w:tc>
        <w:tc>
          <w:tcPr>
            <w:tcW w:type="dxa" w:w="3402"/>
            <w:shd w:val="clear" w:color="auto" w:fill="EBF0F7"/>
          </w:tcPr>
          <w:p>
            <w:pPr>
              <w:jc w:val="center"/>
            </w:pPr>
            <w:r>
              <w:rPr>
                <w:rFonts w:ascii="Times New Roman" w:hAnsi="Times New Roman"/>
                <w:sz w:val="20"/>
              </w:rPr>
              <w:t>256</w:t>
            </w:r>
          </w:p>
        </w:tc>
      </w:tr>
      <w:tr>
        <w:tc>
          <w:tcPr>
            <w:tcW w:type="dxa" w:w="2268"/>
            <w:shd w:val="clear" w:color="auto" w:fill="FFFFFF"/>
          </w:tcPr>
          <w:p>
            <w:pPr>
              <w:jc w:val="center"/>
            </w:pPr>
            <w:r>
              <w:rPr>
                <w:rFonts w:ascii="Times New Roman" w:hAnsi="Times New Roman"/>
                <w:sz w:val="20"/>
              </w:rPr>
              <w:t>شبکه</w:t>
            </w:r>
          </w:p>
        </w:tc>
        <w:tc>
          <w:tcPr>
            <w:tcW w:type="dxa" w:w="2835"/>
            <w:shd w:val="clear" w:color="auto" w:fill="FFFFFF"/>
          </w:tcPr>
          <w:p>
            <w:pPr>
              <w:jc w:val="center"/>
            </w:pPr>
            <w:r>
              <w:rPr>
                <w:rFonts w:ascii="Times New Roman" w:hAnsi="Times New Roman"/>
                <w:sz w:val="20"/>
              </w:rPr>
              <w:t>ضریب تخفیف (γ)</w:t>
            </w:r>
          </w:p>
        </w:tc>
        <w:tc>
          <w:tcPr>
            <w:tcW w:type="dxa" w:w="3402"/>
            <w:shd w:val="clear" w:color="auto" w:fill="FFFFFF"/>
          </w:tcPr>
          <w:p>
            <w:pPr>
              <w:jc w:val="center"/>
            </w:pPr>
            <w:r>
              <w:rPr>
                <w:rFonts w:ascii="Times New Roman" w:hAnsi="Times New Roman"/>
                <w:sz w:val="20"/>
              </w:rPr>
              <w:t>0.995</w:t>
            </w:r>
          </w:p>
        </w:tc>
      </w:tr>
      <w:tr>
        <w:tc>
          <w:tcPr>
            <w:tcW w:type="dxa" w:w="2268"/>
            <w:shd w:val="clear" w:color="auto" w:fill="EBF0F7"/>
          </w:tcPr>
          <w:p>
            <w:pPr>
              <w:jc w:val="center"/>
            </w:pPr>
            <w:r>
              <w:rPr>
                <w:rFonts w:ascii="Times New Roman" w:hAnsi="Times New Roman"/>
                <w:sz w:val="20"/>
              </w:rPr>
              <w:t>شبکه</w:t>
            </w:r>
          </w:p>
        </w:tc>
        <w:tc>
          <w:tcPr>
            <w:tcW w:type="dxa" w:w="2835"/>
            <w:shd w:val="clear" w:color="auto" w:fill="EBF0F7"/>
          </w:tcPr>
          <w:p>
            <w:pPr>
              <w:jc w:val="center"/>
            </w:pPr>
            <w:r>
              <w:rPr>
                <w:rFonts w:ascii="Times New Roman" w:hAnsi="Times New Roman"/>
                <w:sz w:val="20"/>
              </w:rPr>
              <w:t>نرخ به‌روزرسانی هدف (τ)</w:t>
            </w:r>
          </w:p>
        </w:tc>
        <w:tc>
          <w:tcPr>
            <w:tcW w:type="dxa" w:w="3402"/>
            <w:shd w:val="clear" w:color="auto" w:fill="EBF0F7"/>
          </w:tcPr>
          <w:p>
            <w:pPr>
              <w:jc w:val="center"/>
            </w:pPr>
            <w:r>
              <w:rPr>
                <w:rFonts w:ascii="Times New Roman" w:hAnsi="Times New Roman"/>
                <w:sz w:val="20"/>
              </w:rPr>
              <w:t>0.005</w:t>
            </w:r>
          </w:p>
        </w:tc>
      </w:tr>
      <w:tr>
        <w:tc>
          <w:tcPr>
            <w:tcW w:type="dxa" w:w="2268"/>
            <w:shd w:val="clear" w:color="auto" w:fill="FFFFFF"/>
          </w:tcPr>
          <w:p>
            <w:pPr>
              <w:jc w:val="center"/>
            </w:pPr>
            <w:r>
              <w:rPr>
                <w:rFonts w:ascii="Times New Roman" w:hAnsi="Times New Roman"/>
                <w:sz w:val="20"/>
              </w:rPr>
              <w:t>محیط</w:t>
            </w:r>
          </w:p>
        </w:tc>
        <w:tc>
          <w:tcPr>
            <w:tcW w:type="dxa" w:w="2835"/>
            <w:shd w:val="clear" w:color="auto" w:fill="FFFFFF"/>
          </w:tcPr>
          <w:p>
            <w:pPr>
              <w:jc w:val="center"/>
            </w:pPr>
            <w:r>
              <w:rPr>
                <w:rFonts w:ascii="Times New Roman" w:hAnsi="Times New Roman"/>
                <w:sz w:val="20"/>
              </w:rPr>
              <w:t>محدوده hedge ratio</w:t>
            </w:r>
          </w:p>
        </w:tc>
        <w:tc>
          <w:tcPr>
            <w:tcW w:type="dxa" w:w="3402"/>
            <w:shd w:val="clear" w:color="auto" w:fill="FFFFFF"/>
          </w:tcPr>
          <w:p>
            <w:pPr>
              <w:jc w:val="center"/>
            </w:pPr>
            <w:r>
              <w:rPr>
                <w:rFonts w:ascii="Times New Roman" w:hAnsi="Times New Roman"/>
                <w:sz w:val="20"/>
              </w:rPr>
              <w:t>[0.0، 1.25]</w:t>
            </w:r>
          </w:p>
        </w:tc>
      </w:tr>
      <w:tr>
        <w:tc>
          <w:tcPr>
            <w:tcW w:type="dxa" w:w="2268"/>
            <w:shd w:val="clear" w:color="auto" w:fill="EBF0F7"/>
          </w:tcPr>
          <w:p>
            <w:pPr>
              <w:jc w:val="center"/>
            </w:pPr>
            <w:r>
              <w:rPr>
                <w:rFonts w:ascii="Times New Roman" w:hAnsi="Times New Roman"/>
                <w:sz w:val="20"/>
              </w:rPr>
              <w:t>محیط</w:t>
            </w:r>
          </w:p>
        </w:tc>
        <w:tc>
          <w:tcPr>
            <w:tcW w:type="dxa" w:w="2835"/>
            <w:shd w:val="clear" w:color="auto" w:fill="EBF0F7"/>
          </w:tcPr>
          <w:p>
            <w:pPr>
              <w:jc w:val="center"/>
            </w:pPr>
            <w:r>
              <w:rPr>
                <w:rFonts w:ascii="Times New Roman" w:hAnsi="Times New Roman"/>
                <w:sz w:val="20"/>
              </w:rPr>
              <w:t>گام تغییر hedge ratio (Δh)</w:t>
            </w:r>
          </w:p>
        </w:tc>
        <w:tc>
          <w:tcPr>
            <w:tcW w:type="dxa" w:w="3402"/>
            <w:shd w:val="clear" w:color="auto" w:fill="EBF0F7"/>
          </w:tcPr>
          <w:p>
            <w:pPr>
              <w:jc w:val="center"/>
            </w:pPr>
            <w:r>
              <w:rPr>
                <w:rFonts w:ascii="Times New Roman" w:hAnsi="Times New Roman"/>
                <w:sz w:val="20"/>
              </w:rPr>
              <w:t>0.01</w:t>
            </w:r>
          </w:p>
        </w:tc>
      </w:tr>
      <w:tr>
        <w:tc>
          <w:tcPr>
            <w:tcW w:type="dxa" w:w="2268"/>
            <w:shd w:val="clear" w:color="auto" w:fill="FFFFFF"/>
          </w:tcPr>
          <w:p>
            <w:pPr>
              <w:jc w:val="center"/>
            </w:pPr>
            <w:r>
              <w:rPr>
                <w:rFonts w:ascii="Times New Roman" w:hAnsi="Times New Roman"/>
                <w:sz w:val="20"/>
              </w:rPr>
              <w:t>محیط</w:t>
            </w:r>
          </w:p>
        </w:tc>
        <w:tc>
          <w:tcPr>
            <w:tcW w:type="dxa" w:w="2835"/>
            <w:shd w:val="clear" w:color="auto" w:fill="FFFFFF"/>
          </w:tcPr>
          <w:p>
            <w:pPr>
              <w:jc w:val="center"/>
            </w:pPr>
            <w:r>
              <w:rPr>
                <w:rFonts w:ascii="Times New Roman" w:hAnsi="Times New Roman"/>
                <w:sz w:val="20"/>
              </w:rPr>
              <w:t>حجم معامله</w:t>
            </w:r>
          </w:p>
        </w:tc>
        <w:tc>
          <w:tcPr>
            <w:tcW w:type="dxa" w:w="3402"/>
            <w:shd w:val="clear" w:color="auto" w:fill="FFFFFF"/>
          </w:tcPr>
          <w:p>
            <w:pPr>
              <w:jc w:val="center"/>
            </w:pPr>
            <w:r>
              <w:rPr>
                <w:rFonts w:ascii="Times New Roman" w:hAnsi="Times New Roman"/>
                <w:sz w:val="20"/>
              </w:rPr>
              <w:t>1,000,000 بشکه</w:t>
            </w:r>
          </w:p>
        </w:tc>
      </w:tr>
      <w:tr>
        <w:tc>
          <w:tcPr>
            <w:tcW w:type="dxa" w:w="2268"/>
            <w:shd w:val="clear" w:color="auto" w:fill="EBF0F7"/>
          </w:tcPr>
          <w:p>
            <w:pPr>
              <w:jc w:val="center"/>
            </w:pPr>
            <w:r>
              <w:rPr>
                <w:rFonts w:ascii="Times New Roman" w:hAnsi="Times New Roman"/>
                <w:sz w:val="20"/>
              </w:rPr>
              <w:t>محیط</w:t>
            </w:r>
          </w:p>
        </w:tc>
        <w:tc>
          <w:tcPr>
            <w:tcW w:type="dxa" w:w="2835"/>
            <w:shd w:val="clear" w:color="auto" w:fill="EBF0F7"/>
          </w:tcPr>
          <w:p>
            <w:pPr>
              <w:jc w:val="center"/>
            </w:pPr>
            <w:r>
              <w:rPr>
                <w:rFonts w:ascii="Times New Roman" w:hAnsi="Times New Roman"/>
                <w:sz w:val="20"/>
              </w:rPr>
              <w:t>هزینه هر قرارداد</w:t>
            </w:r>
          </w:p>
        </w:tc>
        <w:tc>
          <w:tcPr>
            <w:tcW w:type="dxa" w:w="3402"/>
            <w:shd w:val="clear" w:color="auto" w:fill="EBF0F7"/>
          </w:tcPr>
          <w:p>
            <w:pPr>
              <w:jc w:val="center"/>
            </w:pPr>
            <w:r>
              <w:rPr>
                <w:rFonts w:ascii="Times New Roman" w:hAnsi="Times New Roman"/>
                <w:sz w:val="20"/>
              </w:rPr>
              <w:t>$10 USD</w:t>
            </w:r>
          </w:p>
        </w:tc>
      </w:tr>
      <w:tr>
        <w:tc>
          <w:tcPr>
            <w:tcW w:type="dxa" w:w="2268"/>
            <w:shd w:val="clear" w:color="auto" w:fill="FFFFFF"/>
          </w:tcPr>
          <w:p>
            <w:pPr>
              <w:jc w:val="center"/>
            </w:pPr>
            <w:r>
              <w:rPr>
                <w:rFonts w:ascii="Times New Roman" w:hAnsi="Times New Roman"/>
                <w:sz w:val="20"/>
              </w:rPr>
              <w:t>محیط</w:t>
            </w:r>
          </w:p>
        </w:tc>
        <w:tc>
          <w:tcPr>
            <w:tcW w:type="dxa" w:w="2835"/>
            <w:shd w:val="clear" w:color="auto" w:fill="FFFFFF"/>
          </w:tcPr>
          <w:p>
            <w:pPr>
              <w:jc w:val="center"/>
            </w:pPr>
            <w:r>
              <w:rPr>
                <w:rFonts w:ascii="Times New Roman" w:hAnsi="Times New Roman"/>
                <w:sz w:val="20"/>
              </w:rPr>
              <w:t>طول اپیزود</w:t>
            </w:r>
          </w:p>
        </w:tc>
        <w:tc>
          <w:tcPr>
            <w:tcW w:type="dxa" w:w="3402"/>
            <w:shd w:val="clear" w:color="auto" w:fill="FFFFFF"/>
          </w:tcPr>
          <w:p>
            <w:pPr>
              <w:jc w:val="center"/>
            </w:pPr>
            <w:r>
              <w:rPr>
                <w:rFonts w:ascii="Times New Roman" w:hAnsi="Times New Roman"/>
                <w:sz w:val="20"/>
              </w:rPr>
              <w:t>30 روز</w:t>
            </w:r>
          </w:p>
        </w:tc>
      </w:tr>
      <w:tr>
        <w:tc>
          <w:tcPr>
            <w:tcW w:type="dxa" w:w="2268"/>
            <w:shd w:val="clear" w:color="auto" w:fill="EBF0F7"/>
          </w:tcPr>
          <w:p>
            <w:pPr>
              <w:jc w:val="center"/>
            </w:pPr>
            <w:r>
              <w:rPr>
                <w:rFonts w:ascii="Times New Roman" w:hAnsi="Times New Roman"/>
                <w:sz w:val="20"/>
              </w:rPr>
              <w:t>Rolling Window</w:t>
            </w:r>
          </w:p>
        </w:tc>
        <w:tc>
          <w:tcPr>
            <w:tcW w:type="dxa" w:w="2835"/>
            <w:shd w:val="clear" w:color="auto" w:fill="EBF0F7"/>
          </w:tcPr>
          <w:p>
            <w:pPr>
              <w:jc w:val="center"/>
            </w:pPr>
            <w:r>
              <w:rPr>
                <w:rFonts w:ascii="Times New Roman" w:hAnsi="Times New Roman"/>
                <w:sz w:val="20"/>
              </w:rPr>
              <w:t>بازه آموزش</w:t>
            </w:r>
          </w:p>
        </w:tc>
        <w:tc>
          <w:tcPr>
            <w:tcW w:type="dxa" w:w="3402"/>
            <w:shd w:val="clear" w:color="auto" w:fill="EBF0F7"/>
          </w:tcPr>
          <w:p>
            <w:pPr>
              <w:jc w:val="center"/>
            </w:pPr>
            <w:r>
              <w:rPr>
                <w:rFonts w:ascii="Times New Roman" w:hAnsi="Times New Roman"/>
                <w:sz w:val="20"/>
              </w:rPr>
              <w:t>2 سال</w:t>
            </w:r>
          </w:p>
        </w:tc>
      </w:tr>
      <w:tr>
        <w:tc>
          <w:tcPr>
            <w:tcW w:type="dxa" w:w="2268"/>
            <w:shd w:val="clear" w:color="auto" w:fill="FFFFFF"/>
          </w:tcPr>
          <w:p>
            <w:pPr>
              <w:jc w:val="center"/>
            </w:pPr>
            <w:r>
              <w:rPr>
                <w:rFonts w:ascii="Times New Roman" w:hAnsi="Times New Roman"/>
                <w:sz w:val="20"/>
              </w:rPr>
              <w:t>Rolling Window</w:t>
            </w:r>
          </w:p>
        </w:tc>
        <w:tc>
          <w:tcPr>
            <w:tcW w:type="dxa" w:w="2835"/>
            <w:shd w:val="clear" w:color="auto" w:fill="FFFFFF"/>
          </w:tcPr>
          <w:p>
            <w:pPr>
              <w:jc w:val="center"/>
            </w:pPr>
            <w:r>
              <w:rPr>
                <w:rFonts w:ascii="Times New Roman" w:hAnsi="Times New Roman"/>
                <w:sz w:val="20"/>
              </w:rPr>
              <w:t>بازه اعتبارسنجی</w:t>
            </w:r>
          </w:p>
        </w:tc>
        <w:tc>
          <w:tcPr>
            <w:tcW w:type="dxa" w:w="3402"/>
            <w:shd w:val="clear" w:color="auto" w:fill="FFFFFF"/>
          </w:tcPr>
          <w:p>
            <w:pPr>
              <w:jc w:val="center"/>
            </w:pPr>
            <w:r>
              <w:rPr>
                <w:rFonts w:ascii="Times New Roman" w:hAnsi="Times New Roman"/>
                <w:sz w:val="20"/>
              </w:rPr>
              <w:t>6 ماه</w:t>
            </w:r>
          </w:p>
        </w:tc>
      </w:tr>
      <w:tr>
        <w:tc>
          <w:tcPr>
            <w:tcW w:type="dxa" w:w="2268"/>
            <w:shd w:val="clear" w:color="auto" w:fill="EBF0F7"/>
          </w:tcPr>
          <w:p>
            <w:pPr>
              <w:jc w:val="center"/>
            </w:pPr>
            <w:r>
              <w:rPr>
                <w:rFonts w:ascii="Times New Roman" w:hAnsi="Times New Roman"/>
                <w:sz w:val="20"/>
              </w:rPr>
              <w:t>Rolling Window</w:t>
            </w:r>
          </w:p>
        </w:tc>
        <w:tc>
          <w:tcPr>
            <w:tcW w:type="dxa" w:w="2835"/>
            <w:shd w:val="clear" w:color="auto" w:fill="EBF0F7"/>
          </w:tcPr>
          <w:p>
            <w:pPr>
              <w:jc w:val="center"/>
            </w:pPr>
            <w:r>
              <w:rPr>
                <w:rFonts w:ascii="Times New Roman" w:hAnsi="Times New Roman"/>
                <w:sz w:val="20"/>
              </w:rPr>
              <w:t>بازه آزمون</w:t>
            </w:r>
          </w:p>
        </w:tc>
        <w:tc>
          <w:tcPr>
            <w:tcW w:type="dxa" w:w="3402"/>
            <w:shd w:val="clear" w:color="auto" w:fill="EBF0F7"/>
          </w:tcPr>
          <w:p>
            <w:pPr>
              <w:jc w:val="center"/>
            </w:pPr>
            <w:r>
              <w:rPr>
                <w:rFonts w:ascii="Times New Roman" w:hAnsi="Times New Roman"/>
                <w:sz w:val="20"/>
              </w:rPr>
              <w:t>6 ماه</w:t>
            </w:r>
          </w:p>
        </w:tc>
      </w:tr>
      <w:tr>
        <w:tc>
          <w:tcPr>
            <w:tcW w:type="dxa" w:w="2268"/>
            <w:shd w:val="clear" w:color="auto" w:fill="FFFFFF"/>
          </w:tcPr>
          <w:p>
            <w:pPr>
              <w:jc w:val="center"/>
            </w:pPr>
            <w:r>
              <w:rPr>
                <w:rFonts w:ascii="Times New Roman" w:hAnsi="Times New Roman"/>
                <w:sz w:val="20"/>
              </w:rPr>
              <w:t>Rolling Window</w:t>
            </w:r>
          </w:p>
        </w:tc>
        <w:tc>
          <w:tcPr>
            <w:tcW w:type="dxa" w:w="2835"/>
            <w:shd w:val="clear" w:color="auto" w:fill="FFFFFF"/>
          </w:tcPr>
          <w:p>
            <w:pPr>
              <w:jc w:val="center"/>
            </w:pPr>
            <w:r>
              <w:rPr>
                <w:rFonts w:ascii="Times New Roman" w:hAnsi="Times New Roman"/>
                <w:sz w:val="20"/>
              </w:rPr>
              <w:t>تعداد پنجره‌ها</w:t>
            </w:r>
          </w:p>
        </w:tc>
        <w:tc>
          <w:tcPr>
            <w:tcW w:type="dxa" w:w="3402"/>
            <w:shd w:val="clear" w:color="auto" w:fill="FFFFFF"/>
          </w:tcPr>
          <w:p>
            <w:pPr>
              <w:jc w:val="center"/>
            </w:pPr>
            <w:r>
              <w:rPr>
                <w:rFonts w:ascii="Times New Roman" w:hAnsi="Times New Roman"/>
                <w:sz w:val="20"/>
              </w:rPr>
              <w:t>28 پنجره</w:t>
            </w:r>
          </w:p>
        </w:tc>
      </w:tr>
      <w:tr>
        <w:tc>
          <w:tcPr>
            <w:tcW w:type="dxa" w:w="2268"/>
            <w:shd w:val="clear" w:color="auto" w:fill="EBF0F7"/>
          </w:tcPr>
          <w:p>
            <w:pPr>
              <w:jc w:val="center"/>
            </w:pPr>
            <w:r>
              <w:rPr>
                <w:rFonts w:ascii="Times New Roman" w:hAnsi="Times New Roman"/>
                <w:sz w:val="20"/>
              </w:rPr>
              <w:t>Rolling Window</w:t>
            </w:r>
          </w:p>
        </w:tc>
        <w:tc>
          <w:tcPr>
            <w:tcW w:type="dxa" w:w="2835"/>
            <w:shd w:val="clear" w:color="auto" w:fill="EBF0F7"/>
          </w:tcPr>
          <w:p>
            <w:pPr>
              <w:jc w:val="center"/>
            </w:pPr>
            <w:r>
              <w:rPr>
                <w:rFonts w:ascii="Times New Roman" w:hAnsi="Times New Roman"/>
                <w:sz w:val="20"/>
              </w:rPr>
              <w:t>تعداد ویژگی ورودی</w:t>
            </w:r>
          </w:p>
        </w:tc>
        <w:tc>
          <w:tcPr>
            <w:tcW w:type="dxa" w:w="3402"/>
            <w:shd w:val="clear" w:color="auto" w:fill="EBF0F7"/>
          </w:tcPr>
          <w:p>
            <w:pPr>
              <w:jc w:val="center"/>
            </w:pPr>
            <w:r>
              <w:rPr>
                <w:rFonts w:ascii="Times New Roman" w:hAnsi="Times New Roman"/>
                <w:sz w:val="20"/>
              </w:rPr>
              <w:t>38 فیچر</w:t>
            </w:r>
          </w:p>
        </w:tc>
      </w:tr>
    </w:tbl>
    <w:p>
      <w:pPr>
        <w:spacing w:before="40" w:after="160"/>
        <w:jc w:val="center"/>
      </w:pPr>
      <w:r>
        <w:rPr>
          <w:rFonts w:ascii="Times New Roman" w:hAnsi="Times New Roman"/>
          <w:b/>
          <w:sz w:val="20"/>
        </w:rPr>
        <w:t xml:space="preserve">جدول 4.8 — </w:t>
      </w:r>
      <w:r>
        <w:rPr>
          <w:rFonts w:ascii="Times New Roman" w:hAnsi="Times New Roman"/>
          <w:i/>
          <w:sz w:val="20"/>
        </w:rPr>
        <w:t>پارامترهای کامل مدل SAC در این پژوهش</w:t>
      </w:r>
    </w:p>
    <w:p>
      <w:pPr>
        <w:pStyle w:val="Heading3"/>
      </w:pPr>
      <w:r>
        <w:t>4.4.2  تابع پاداش چندهدفه</w:t>
      </w:r>
    </w:p>
    <w:p>
      <w:pPr>
        <w:ind w:firstLine="425"/>
        <w:jc w:val="both"/>
      </w:pPr>
      <w:r>
        <w:t>یکی از نوآوری‌های اصلی این پژوهش، طراحی تابع پاداش سه‌جزئی است که همزمان سه هدف را بهینه می‌کند: کاهش ریسک دنباله (LPM)، کاهش نوسان‌پذیری، و کنترل هزینه‌های معاملاتی. تابع پاداش به صورت زیر تعریف شده است:</w:t>
      </w:r>
    </w:p>
    <w:p>
      <w:pPr>
        <w:spacing w:before="120" w:after="120"/>
        <w:jc w:val="center"/>
      </w:pPr>
      <w:r>
        <w:rPr>
          <w:rFonts w:ascii="Times New Roman" w:hAnsi="Times New Roman"/>
          <w:b/>
          <w:sz w:val="22"/>
        </w:rPr>
        <w:t>r_t  =  w_LPM · (-LPM₂(τ))  +  w_Vol · (-σ²_portfolio)  +  w_Cost · (-C_t_normalized)</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551"/>
            <w:vAlign w:val="center"/>
            <w:shd w:val="clear" w:color="auto" w:fill="1F497D"/>
          </w:tcPr>
          <w:p>
            <w:pPr>
              <w:jc w:val="center"/>
            </w:pPr>
            <w:r>
              <w:rPr>
                <w:rFonts w:ascii="Times New Roman" w:hAnsi="Times New Roman"/>
                <w:b/>
                <w:color w:val="FFFFFF"/>
                <w:sz w:val="20"/>
              </w:rPr>
              <w:t>جزء پاداش</w:t>
            </w:r>
          </w:p>
        </w:tc>
        <w:tc>
          <w:tcPr>
            <w:tcW w:type="dxa" w:w="1417"/>
            <w:vAlign w:val="center"/>
            <w:shd w:val="clear" w:color="auto" w:fill="1F497D"/>
          </w:tcPr>
          <w:p>
            <w:pPr>
              <w:jc w:val="center"/>
            </w:pPr>
            <w:r>
              <w:rPr>
                <w:rFonts w:ascii="Times New Roman" w:hAnsi="Times New Roman"/>
                <w:b/>
                <w:color w:val="FFFFFF"/>
                <w:sz w:val="20"/>
              </w:rPr>
              <w:t>وزن</w:t>
            </w:r>
          </w:p>
        </w:tc>
        <w:tc>
          <w:tcPr>
            <w:tcW w:type="dxa" w:w="2268"/>
            <w:vAlign w:val="center"/>
            <w:shd w:val="clear" w:color="auto" w:fill="1F497D"/>
          </w:tcPr>
          <w:p>
            <w:pPr>
              <w:jc w:val="center"/>
            </w:pPr>
            <w:r>
              <w:rPr>
                <w:rFonts w:ascii="Times New Roman" w:hAnsi="Times New Roman"/>
                <w:b/>
                <w:color w:val="FFFFFF"/>
                <w:sz w:val="20"/>
              </w:rPr>
              <w:t>تعریف</w:t>
            </w:r>
          </w:p>
        </w:tc>
        <w:tc>
          <w:tcPr>
            <w:tcW w:type="dxa" w:w="2268"/>
            <w:vAlign w:val="center"/>
            <w:shd w:val="clear" w:color="auto" w:fill="1F497D"/>
          </w:tcPr>
          <w:p>
            <w:pPr>
              <w:jc w:val="center"/>
            </w:pPr>
            <w:r>
              <w:rPr>
                <w:rFonts w:ascii="Times New Roman" w:hAnsi="Times New Roman"/>
                <w:b/>
                <w:color w:val="FFFFFF"/>
                <w:sz w:val="20"/>
              </w:rPr>
              <w:t>هدف</w:t>
            </w:r>
          </w:p>
        </w:tc>
      </w:tr>
      <w:tr>
        <w:tc>
          <w:tcPr>
            <w:tcW w:type="dxa" w:w="2551"/>
            <w:shd w:val="clear" w:color="auto" w:fill="EBF0F7"/>
          </w:tcPr>
          <w:p>
            <w:pPr>
              <w:jc w:val="center"/>
            </w:pPr>
            <w:r>
              <w:rPr>
                <w:rFonts w:ascii="Times New Roman" w:hAnsi="Times New Roman"/>
                <w:sz w:val="20"/>
              </w:rPr>
              <w:t>LPM (Lower Partial Moment)</w:t>
            </w:r>
          </w:p>
        </w:tc>
        <w:tc>
          <w:tcPr>
            <w:tcW w:type="dxa" w:w="1417"/>
            <w:shd w:val="clear" w:color="auto" w:fill="EBF0F7"/>
          </w:tcPr>
          <w:p>
            <w:pPr>
              <w:jc w:val="center"/>
            </w:pPr>
            <w:r>
              <w:rPr>
                <w:rFonts w:ascii="Times New Roman" w:hAnsi="Times New Roman"/>
                <w:sz w:val="20"/>
              </w:rPr>
              <w:t>0.45 (45%)</w:t>
            </w:r>
          </w:p>
        </w:tc>
        <w:tc>
          <w:tcPr>
            <w:tcW w:type="dxa" w:w="2268"/>
            <w:shd w:val="clear" w:color="auto" w:fill="EBF0F7"/>
          </w:tcPr>
          <w:p>
            <w:pPr>
              <w:jc w:val="center"/>
            </w:pPr>
            <w:r>
              <w:rPr>
                <w:rFonts w:ascii="Times New Roman" w:hAnsi="Times New Roman"/>
                <w:sz w:val="20"/>
              </w:rPr>
              <w:t>LPM₂ با آستانه τ=0.0001</w:t>
            </w:r>
          </w:p>
        </w:tc>
        <w:tc>
          <w:tcPr>
            <w:tcW w:type="dxa" w:w="2268"/>
            <w:shd w:val="clear" w:color="auto" w:fill="EBF0F7"/>
          </w:tcPr>
          <w:p>
            <w:pPr>
              <w:jc w:val="center"/>
            </w:pPr>
            <w:r>
              <w:rPr>
                <w:rFonts w:ascii="Times New Roman" w:hAnsi="Times New Roman"/>
                <w:sz w:val="20"/>
              </w:rPr>
              <w:t>کاهش ریسک دنباله پایین</w:t>
            </w:r>
          </w:p>
        </w:tc>
      </w:tr>
      <w:tr>
        <w:tc>
          <w:tcPr>
            <w:tcW w:type="dxa" w:w="2551"/>
            <w:shd w:val="clear" w:color="auto" w:fill="FFFFFF"/>
          </w:tcPr>
          <w:p>
            <w:pPr>
              <w:jc w:val="center"/>
            </w:pPr>
            <w:r>
              <w:rPr>
                <w:rFonts w:ascii="Times New Roman" w:hAnsi="Times New Roman"/>
                <w:sz w:val="20"/>
              </w:rPr>
              <w:t>نوسان‌پذیری (Volatility)</w:t>
            </w:r>
          </w:p>
        </w:tc>
        <w:tc>
          <w:tcPr>
            <w:tcW w:type="dxa" w:w="1417"/>
            <w:shd w:val="clear" w:color="auto" w:fill="FFFFFF"/>
          </w:tcPr>
          <w:p>
            <w:pPr>
              <w:jc w:val="center"/>
            </w:pPr>
            <w:r>
              <w:rPr>
                <w:rFonts w:ascii="Times New Roman" w:hAnsi="Times New Roman"/>
                <w:sz w:val="20"/>
              </w:rPr>
              <w:t>0.35 (35%)</w:t>
            </w:r>
          </w:p>
        </w:tc>
        <w:tc>
          <w:tcPr>
            <w:tcW w:type="dxa" w:w="2268"/>
            <w:shd w:val="clear" w:color="auto" w:fill="FFFFFF"/>
          </w:tcPr>
          <w:p>
            <w:pPr>
              <w:jc w:val="center"/>
            </w:pPr>
            <w:r>
              <w:rPr>
                <w:rFonts w:ascii="Times New Roman" w:hAnsi="Times New Roman"/>
                <w:sz w:val="20"/>
              </w:rPr>
              <w:t>واریانس انباشته بازده پرتفوی</w:t>
            </w:r>
          </w:p>
        </w:tc>
        <w:tc>
          <w:tcPr>
            <w:tcW w:type="dxa" w:w="2268"/>
            <w:shd w:val="clear" w:color="auto" w:fill="FFFFFF"/>
          </w:tcPr>
          <w:p>
            <w:pPr>
              <w:jc w:val="center"/>
            </w:pPr>
            <w:r>
              <w:rPr>
                <w:rFonts w:ascii="Times New Roman" w:hAnsi="Times New Roman"/>
                <w:sz w:val="20"/>
              </w:rPr>
              <w:t>کاهش کلی نوسان</w:t>
            </w:r>
          </w:p>
        </w:tc>
      </w:tr>
      <w:tr>
        <w:tc>
          <w:tcPr>
            <w:tcW w:type="dxa" w:w="2551"/>
            <w:shd w:val="clear" w:color="auto" w:fill="EBF0F7"/>
          </w:tcPr>
          <w:p>
            <w:pPr>
              <w:jc w:val="center"/>
            </w:pPr>
            <w:r>
              <w:rPr>
                <w:rFonts w:ascii="Times New Roman" w:hAnsi="Times New Roman"/>
                <w:sz w:val="20"/>
              </w:rPr>
              <w:t>هزینه تصمیم (Decision Cost)</w:t>
            </w:r>
          </w:p>
        </w:tc>
        <w:tc>
          <w:tcPr>
            <w:tcW w:type="dxa" w:w="1417"/>
            <w:shd w:val="clear" w:color="auto" w:fill="EBF0F7"/>
          </w:tcPr>
          <w:p>
            <w:pPr>
              <w:jc w:val="center"/>
            </w:pPr>
            <w:r>
              <w:rPr>
                <w:rFonts w:ascii="Times New Roman" w:hAnsi="Times New Roman"/>
                <w:sz w:val="20"/>
              </w:rPr>
              <w:t>0.20 (20%)</w:t>
            </w:r>
          </w:p>
        </w:tc>
        <w:tc>
          <w:tcPr>
            <w:tcW w:type="dxa" w:w="2268"/>
            <w:shd w:val="clear" w:color="auto" w:fill="EBF0F7"/>
          </w:tcPr>
          <w:p>
            <w:pPr>
              <w:jc w:val="center"/>
            </w:pPr>
            <w:r>
              <w:rPr>
                <w:rFonts w:ascii="Times New Roman" w:hAnsi="Times New Roman"/>
                <w:sz w:val="20"/>
              </w:rPr>
              <w:t>هزینه معاملاتی نرمال‌شده</w:t>
            </w:r>
          </w:p>
        </w:tc>
        <w:tc>
          <w:tcPr>
            <w:tcW w:type="dxa" w:w="2268"/>
            <w:shd w:val="clear" w:color="auto" w:fill="EBF0F7"/>
          </w:tcPr>
          <w:p>
            <w:pPr>
              <w:jc w:val="center"/>
            </w:pPr>
            <w:r>
              <w:rPr>
                <w:rFonts w:ascii="Times New Roman" w:hAnsi="Times New Roman"/>
                <w:sz w:val="20"/>
              </w:rPr>
              <w:t>جلوگیری از معاملات بیش از حد</w:t>
            </w:r>
          </w:p>
        </w:tc>
      </w:tr>
    </w:tbl>
    <w:p>
      <w:pPr>
        <w:spacing w:before="40" w:after="160"/>
        <w:jc w:val="center"/>
      </w:pPr>
      <w:r>
        <w:rPr>
          <w:rFonts w:ascii="Times New Roman" w:hAnsi="Times New Roman"/>
          <w:b/>
          <w:sz w:val="20"/>
        </w:rPr>
        <w:t xml:space="preserve">جدول 4.9 — </w:t>
      </w:r>
      <w:r>
        <w:rPr>
          <w:rFonts w:ascii="Times New Roman" w:hAnsi="Times New Roman"/>
          <w:i/>
          <w:sz w:val="20"/>
        </w:rPr>
        <w:t>اجزای تابع پاداش SAC و وزن‌های آن‌ها</w:t>
      </w:r>
    </w:p>
    <w:p>
      <w:pPr>
        <w:ind w:firstLine="425"/>
        <w:jc w:val="both"/>
      </w:pPr>
      <w:r>
        <w:t>وزن‌دهی ۴۵٪ به LPM نسبت به ۳۵٪ برای نوسان‌پذیری نشان‌دهنده اولویت‌بخشی به کنترل ریسک دنباله است. این انتخاب از آن جهت توجیه‌پذیر است که در صنعت نفت، زیان‌های بزرگ (دنباله‌های سنگین توزیع) می‌توانند تهدید وجودی برای شرکت باشند؛ در حالی که نوسان‌پذیری کلی تا حدی قابل تحمل است. سهم ۲۰٪ برای هزینه تصمیم باعث می‌شود مدل از trading زیاد اجتناب کند.</w:t>
      </w:r>
    </w:p>
    <w:p>
      <w:pPr>
        <w:pStyle w:val="Heading3"/>
      </w:pPr>
      <w:r>
        <w:t>4.4.3  فضای حالت و عمل</w:t>
      </w:r>
    </w:p>
    <w:p>
      <w:pPr>
        <w:ind w:firstLine="425"/>
        <w:jc w:val="both"/>
      </w:pPr>
      <w:r>
        <w:t>فضای حالت مدل SAC شامل ۳۸ فیچر است که به چند دسته تقسیم می‌شوند: ویژگی‌های قیمتی (بازده‌ها، نسبت اسپات به آتی)، ویژگی‌های نوسان (sigma GARCH، rho، h_ccc در افق‌های مختلف)، ویژگی‌های ماکرو (EPU، GPRD، WUI، VIX)، و ویژگی‌های موقعیت (hedge ratio فعلی، زمان سپری‌شده از اپیزود، ارزش equity انباشته). فضای عمل پیوسته است و تغییر hedge ratio در بازه [−Δh، +Δh] = [−0.01، +0.01] در هر گام زمانی را تعریف می‌کند.</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val="clear" w:color="auto" w:fill="1F497D"/>
          </w:tcPr>
          <w:p>
            <w:pPr>
              <w:jc w:val="center"/>
            </w:pPr>
            <w:r>
              <w:rPr>
                <w:rFonts w:ascii="Times New Roman" w:hAnsi="Times New Roman"/>
                <w:b/>
                <w:color w:val="FFFFFF"/>
                <w:sz w:val="20"/>
              </w:rPr>
              <w:t>دسته فیچر</w:t>
            </w:r>
          </w:p>
        </w:tc>
        <w:tc>
          <w:tcPr>
            <w:tcW w:type="dxa" w:w="5102"/>
            <w:vAlign w:val="center"/>
            <w:shd w:val="clear" w:color="auto" w:fill="1F497D"/>
          </w:tcPr>
          <w:p>
            <w:pPr>
              <w:jc w:val="center"/>
            </w:pPr>
            <w:r>
              <w:rPr>
                <w:rFonts w:ascii="Times New Roman" w:hAnsi="Times New Roman"/>
                <w:b/>
                <w:color w:val="FFFFFF"/>
                <w:sz w:val="20"/>
              </w:rPr>
              <w:t>مثال‌ها</w:t>
            </w:r>
          </w:p>
        </w:tc>
        <w:tc>
          <w:tcPr>
            <w:tcW w:type="dxa" w:w="1134"/>
            <w:vAlign w:val="center"/>
            <w:shd w:val="clear" w:color="auto" w:fill="1F497D"/>
          </w:tcPr>
          <w:p>
            <w:pPr>
              <w:jc w:val="center"/>
            </w:pPr>
            <w:r>
              <w:rPr>
                <w:rFonts w:ascii="Times New Roman" w:hAnsi="Times New Roman"/>
                <w:b/>
                <w:color w:val="FFFFFF"/>
                <w:sz w:val="20"/>
              </w:rPr>
              <w:t>تعداد</w:t>
            </w:r>
          </w:p>
        </w:tc>
      </w:tr>
      <w:tr>
        <w:tc>
          <w:tcPr>
            <w:tcW w:type="dxa" w:w="2268"/>
            <w:shd w:val="clear" w:color="auto" w:fill="EBF0F7"/>
          </w:tcPr>
          <w:p>
            <w:pPr>
              <w:jc w:val="center"/>
            </w:pPr>
            <w:r>
              <w:rPr>
                <w:rFonts w:ascii="Times New Roman" w:hAnsi="Times New Roman"/>
                <w:sz w:val="20"/>
              </w:rPr>
              <w:t>قیمت و بازده</w:t>
            </w:r>
          </w:p>
        </w:tc>
        <w:tc>
          <w:tcPr>
            <w:tcW w:type="dxa" w:w="5102"/>
            <w:shd w:val="clear" w:color="auto" w:fill="EBF0F7"/>
          </w:tcPr>
          <w:p>
            <w:pPr>
              <w:jc w:val="center"/>
            </w:pPr>
            <w:r>
              <w:rPr>
                <w:rFonts w:ascii="Times New Roman" w:hAnsi="Times New Roman"/>
                <w:sz w:val="20"/>
              </w:rPr>
              <w:t>log-return اسپات، نسبت spot/futures، بازده CL1/CL2</w:t>
            </w:r>
          </w:p>
        </w:tc>
        <w:tc>
          <w:tcPr>
            <w:tcW w:type="dxa" w:w="1134"/>
            <w:shd w:val="clear" w:color="auto" w:fill="EBF0F7"/>
          </w:tcPr>
          <w:p>
            <w:pPr>
              <w:jc w:val="center"/>
            </w:pPr>
            <w:r>
              <w:rPr>
                <w:rFonts w:ascii="Times New Roman" w:hAnsi="Times New Roman"/>
                <w:sz w:val="20"/>
              </w:rPr>
              <w:t>~8</w:t>
            </w:r>
          </w:p>
        </w:tc>
      </w:tr>
      <w:tr>
        <w:tc>
          <w:tcPr>
            <w:tcW w:type="dxa" w:w="2268"/>
            <w:shd w:val="clear" w:color="auto" w:fill="FFFFFF"/>
          </w:tcPr>
          <w:p>
            <w:pPr>
              <w:jc w:val="center"/>
            </w:pPr>
            <w:r>
              <w:rPr>
                <w:rFonts w:ascii="Times New Roman" w:hAnsi="Times New Roman"/>
                <w:sz w:val="20"/>
              </w:rPr>
              <w:t>نوسان‌پذیری GARCH</w:t>
            </w:r>
          </w:p>
        </w:tc>
        <w:tc>
          <w:tcPr>
            <w:tcW w:type="dxa" w:w="5102"/>
            <w:shd w:val="clear" w:color="auto" w:fill="FFFFFF"/>
          </w:tcPr>
          <w:p>
            <w:pPr>
              <w:jc w:val="center"/>
            </w:pPr>
            <w:r>
              <w:rPr>
                <w:rFonts w:ascii="Times New Roman" w:hAnsi="Times New Roman"/>
                <w:sz w:val="20"/>
              </w:rPr>
              <w:t>sigma_garch، rho_30/60/120/252، h_ccc_30/60/120/252</w:t>
            </w:r>
          </w:p>
        </w:tc>
        <w:tc>
          <w:tcPr>
            <w:tcW w:type="dxa" w:w="1134"/>
            <w:shd w:val="clear" w:color="auto" w:fill="FFFFFF"/>
          </w:tcPr>
          <w:p>
            <w:pPr>
              <w:jc w:val="center"/>
            </w:pPr>
            <w:r>
              <w:rPr>
                <w:rFonts w:ascii="Times New Roman" w:hAnsi="Times New Roman"/>
                <w:sz w:val="20"/>
              </w:rPr>
              <w:t>~12</w:t>
            </w:r>
          </w:p>
        </w:tc>
      </w:tr>
      <w:tr>
        <w:tc>
          <w:tcPr>
            <w:tcW w:type="dxa" w:w="2268"/>
            <w:shd w:val="clear" w:color="auto" w:fill="EBF0F7"/>
          </w:tcPr>
          <w:p>
            <w:pPr>
              <w:jc w:val="center"/>
            </w:pPr>
            <w:r>
              <w:rPr>
                <w:rFonts w:ascii="Times New Roman" w:hAnsi="Times New Roman"/>
                <w:sz w:val="20"/>
              </w:rPr>
              <w:t>شاخص‌های ماکرو</w:t>
            </w:r>
          </w:p>
        </w:tc>
        <w:tc>
          <w:tcPr>
            <w:tcW w:type="dxa" w:w="5102"/>
            <w:shd w:val="clear" w:color="auto" w:fill="EBF0F7"/>
          </w:tcPr>
          <w:p>
            <w:pPr>
              <w:jc w:val="center"/>
            </w:pPr>
            <w:r>
              <w:rPr>
                <w:rFonts w:ascii="Times New Roman" w:hAnsi="Times New Roman"/>
                <w:sz w:val="20"/>
              </w:rPr>
              <w:t>EPU، GPRD، GPRD_ACT، WUI، OVX، VIX، DXY، SP500_Energy</w:t>
            </w:r>
          </w:p>
        </w:tc>
        <w:tc>
          <w:tcPr>
            <w:tcW w:type="dxa" w:w="1134"/>
            <w:shd w:val="clear" w:color="auto" w:fill="EBF0F7"/>
          </w:tcPr>
          <w:p>
            <w:pPr>
              <w:jc w:val="center"/>
            </w:pPr>
            <w:r>
              <w:rPr>
                <w:rFonts w:ascii="Times New Roman" w:hAnsi="Times New Roman"/>
                <w:sz w:val="20"/>
              </w:rPr>
              <w:t>~12</w:t>
            </w:r>
          </w:p>
        </w:tc>
      </w:tr>
      <w:tr>
        <w:tc>
          <w:tcPr>
            <w:tcW w:type="dxa" w:w="2268"/>
            <w:shd w:val="clear" w:color="auto" w:fill="FFFFFF"/>
          </w:tcPr>
          <w:p>
            <w:pPr>
              <w:jc w:val="center"/>
            </w:pPr>
            <w:r>
              <w:rPr>
                <w:rFonts w:ascii="Times New Roman" w:hAnsi="Times New Roman"/>
                <w:sz w:val="20"/>
              </w:rPr>
              <w:t>موقعیت پرتفوی</w:t>
            </w:r>
          </w:p>
        </w:tc>
        <w:tc>
          <w:tcPr>
            <w:tcW w:type="dxa" w:w="5102"/>
            <w:shd w:val="clear" w:color="auto" w:fill="FFFFFF"/>
          </w:tcPr>
          <w:p>
            <w:pPr>
              <w:jc w:val="center"/>
            </w:pPr>
            <w:r>
              <w:rPr>
                <w:rFonts w:ascii="Times New Roman" w:hAnsi="Times New Roman"/>
                <w:sz w:val="20"/>
              </w:rPr>
              <w:t>hedge ratio فعلی، equity انباشته، زمان سپری‌شده</w:t>
            </w:r>
          </w:p>
        </w:tc>
        <w:tc>
          <w:tcPr>
            <w:tcW w:type="dxa" w:w="1134"/>
            <w:shd w:val="clear" w:color="auto" w:fill="FFFFFF"/>
          </w:tcPr>
          <w:p>
            <w:pPr>
              <w:jc w:val="center"/>
            </w:pPr>
            <w:r>
              <w:rPr>
                <w:rFonts w:ascii="Times New Roman" w:hAnsi="Times New Roman"/>
                <w:sz w:val="20"/>
              </w:rPr>
              <w:t>3</w:t>
            </w:r>
          </w:p>
        </w:tc>
      </w:tr>
      <w:tr>
        <w:tc>
          <w:tcPr>
            <w:tcW w:type="dxa" w:w="2268"/>
            <w:shd w:val="clear" w:color="auto" w:fill="EBF0F7"/>
          </w:tcPr>
          <w:p>
            <w:pPr>
              <w:jc w:val="center"/>
            </w:pPr>
            <w:r>
              <w:rPr>
                <w:rFonts w:ascii="Times New Roman" w:hAnsi="Times New Roman"/>
                <w:sz w:val="20"/>
              </w:rPr>
              <w:t>سایر</w:t>
            </w:r>
          </w:p>
        </w:tc>
        <w:tc>
          <w:tcPr>
            <w:tcW w:type="dxa" w:w="5102"/>
            <w:shd w:val="clear" w:color="auto" w:fill="EBF0F7"/>
          </w:tcPr>
          <w:p>
            <w:pPr>
              <w:jc w:val="center"/>
            </w:pPr>
            <w:r>
              <w:rPr>
                <w:rFonts w:ascii="Times New Roman" w:hAnsi="Times New Roman"/>
                <w:sz w:val="20"/>
              </w:rPr>
              <w:t>TB3MS، DTB3، OPU_index</w:t>
            </w:r>
          </w:p>
        </w:tc>
        <w:tc>
          <w:tcPr>
            <w:tcW w:type="dxa" w:w="1134"/>
            <w:shd w:val="clear" w:color="auto" w:fill="EBF0F7"/>
          </w:tcPr>
          <w:p>
            <w:pPr>
              <w:jc w:val="center"/>
            </w:pPr>
            <w:r>
              <w:rPr>
                <w:rFonts w:ascii="Times New Roman" w:hAnsi="Times New Roman"/>
                <w:sz w:val="20"/>
              </w:rPr>
              <w:t>~3</w:t>
            </w:r>
          </w:p>
        </w:tc>
      </w:tr>
      <w:tr>
        <w:tc>
          <w:tcPr>
            <w:tcW w:type="dxa" w:w="2268"/>
            <w:shd w:val="clear" w:color="auto" w:fill="FFFFFF"/>
          </w:tcPr>
          <w:p>
            <w:pPr>
              <w:jc w:val="center"/>
            </w:pPr>
            <w:r>
              <w:rPr>
                <w:rFonts w:ascii="Times New Roman" w:hAnsi="Times New Roman"/>
                <w:sz w:val="20"/>
              </w:rPr>
              <w:t>مجموع</w:t>
            </w:r>
          </w:p>
        </w:tc>
        <w:tc>
          <w:tcPr>
            <w:tcW w:type="dxa" w:w="5102"/>
            <w:shd w:val="clear" w:color="auto" w:fill="FFFFFF"/>
          </w:tcPr>
          <w:p>
            <w:pPr>
              <w:jc w:val="center"/>
            </w:pPr>
            <w:r>
              <w:rPr>
                <w:rFonts w:ascii="Times New Roman" w:hAnsi="Times New Roman"/>
                <w:sz w:val="20"/>
              </w:rPr>
              <w:t>—</w:t>
            </w:r>
          </w:p>
        </w:tc>
        <w:tc>
          <w:tcPr>
            <w:tcW w:type="dxa" w:w="1134"/>
            <w:shd w:val="clear" w:color="auto" w:fill="FFFFFF"/>
          </w:tcPr>
          <w:p>
            <w:pPr>
              <w:jc w:val="center"/>
            </w:pPr>
            <w:r>
              <w:rPr>
                <w:rFonts w:ascii="Times New Roman" w:hAnsi="Times New Roman"/>
                <w:sz w:val="20"/>
              </w:rPr>
              <w:t>38</w:t>
            </w:r>
          </w:p>
        </w:tc>
      </w:tr>
    </w:tbl>
    <w:p>
      <w:pPr>
        <w:spacing w:before="40" w:after="160"/>
        <w:jc w:val="center"/>
      </w:pPr>
      <w:r>
        <w:rPr>
          <w:rFonts w:ascii="Times New Roman" w:hAnsi="Times New Roman"/>
          <w:b/>
          <w:sz w:val="20"/>
        </w:rPr>
        <w:t xml:space="preserve">جدول 4.10 — </w:t>
      </w:r>
      <w:r>
        <w:rPr>
          <w:rFonts w:ascii="Times New Roman" w:hAnsi="Times New Roman"/>
          <w:i/>
          <w:sz w:val="20"/>
        </w:rPr>
        <w:t>فضای حالت مدل SAC — دسته‌بندی ۳۸ فیچر ورودی</w:t>
      </w:r>
    </w:p>
    <w:p>
      <w:pPr>
        <w:pStyle w:val="Heading3"/>
      </w:pPr>
      <w:r>
        <w:t>4.4.4  استراتژی‌های مقایسه (Benchmark)</w:t>
      </w:r>
    </w:p>
    <w:p>
      <w:pPr>
        <w:ind w:firstLine="425"/>
        <w:jc w:val="both"/>
      </w:pPr>
      <w:r>
        <w:t>برای ارزیابی عادلانه، مدل SAC با پنج استراتژی کلاسیک و یک حالت مرجع مقایسه می‌شود:</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val="clear" w:color="auto" w:fill="1F497D"/>
          </w:tcPr>
          <w:p>
            <w:pPr>
              <w:jc w:val="center"/>
            </w:pPr>
            <w:r>
              <w:rPr>
                <w:rFonts w:ascii="Times New Roman" w:hAnsi="Times New Roman"/>
                <w:b/>
                <w:color w:val="FFFFFF"/>
                <w:sz w:val="20"/>
              </w:rPr>
              <w:t>استراتژی</w:t>
            </w:r>
          </w:p>
        </w:tc>
        <w:tc>
          <w:tcPr>
            <w:tcW w:type="dxa" w:w="5102"/>
            <w:vAlign w:val="center"/>
            <w:shd w:val="clear" w:color="auto" w:fill="1F497D"/>
          </w:tcPr>
          <w:p>
            <w:pPr>
              <w:jc w:val="center"/>
            </w:pPr>
            <w:r>
              <w:rPr>
                <w:rFonts w:ascii="Times New Roman" w:hAnsi="Times New Roman"/>
                <w:b/>
                <w:color w:val="FFFFFF"/>
                <w:sz w:val="20"/>
              </w:rPr>
              <w:t>توضیح</w:t>
            </w:r>
          </w:p>
        </w:tc>
        <w:tc>
          <w:tcPr>
            <w:tcW w:type="dxa" w:w="1701"/>
            <w:vAlign w:val="center"/>
            <w:shd w:val="clear" w:color="auto" w:fill="1F497D"/>
          </w:tcPr>
          <w:p>
            <w:pPr>
              <w:jc w:val="center"/>
            </w:pPr>
            <w:r>
              <w:rPr>
                <w:rFonts w:ascii="Times New Roman" w:hAnsi="Times New Roman"/>
                <w:b/>
                <w:color w:val="FFFFFF"/>
                <w:sz w:val="20"/>
              </w:rPr>
              <w:t>نسبت پوشش</w:t>
            </w:r>
          </w:p>
        </w:tc>
      </w:tr>
      <w:tr>
        <w:tc>
          <w:tcPr>
            <w:tcW w:type="dxa" w:w="2268"/>
            <w:shd w:val="clear" w:color="auto" w:fill="EBF0F7"/>
          </w:tcPr>
          <w:p>
            <w:pPr>
              <w:jc w:val="center"/>
            </w:pPr>
            <w:r>
              <w:rPr>
                <w:rFonts w:ascii="Times New Roman" w:hAnsi="Times New Roman"/>
                <w:sz w:val="20"/>
              </w:rPr>
              <w:t>NoHedge</w:t>
            </w:r>
          </w:p>
        </w:tc>
        <w:tc>
          <w:tcPr>
            <w:tcW w:type="dxa" w:w="5102"/>
            <w:shd w:val="clear" w:color="auto" w:fill="EBF0F7"/>
          </w:tcPr>
          <w:p>
            <w:pPr>
              <w:jc w:val="center"/>
            </w:pPr>
            <w:r>
              <w:rPr>
                <w:rFonts w:ascii="Times New Roman" w:hAnsi="Times New Roman"/>
                <w:sz w:val="20"/>
              </w:rPr>
              <w:t>بدون هیچ موضع آتی — مرجع پایین‌دست</w:t>
            </w:r>
          </w:p>
        </w:tc>
        <w:tc>
          <w:tcPr>
            <w:tcW w:type="dxa" w:w="1701"/>
            <w:shd w:val="clear" w:color="auto" w:fill="EBF0F7"/>
          </w:tcPr>
          <w:p>
            <w:pPr>
              <w:jc w:val="center"/>
            </w:pPr>
            <w:r>
              <w:rPr>
                <w:rFonts w:ascii="Times New Roman" w:hAnsi="Times New Roman"/>
                <w:sz w:val="20"/>
              </w:rPr>
              <w:t>h = 0 (ثابت)</w:t>
            </w:r>
          </w:p>
        </w:tc>
      </w:tr>
      <w:tr>
        <w:tc>
          <w:tcPr>
            <w:tcW w:type="dxa" w:w="2268"/>
            <w:shd w:val="clear" w:color="auto" w:fill="FFFFFF"/>
          </w:tcPr>
          <w:p>
            <w:pPr>
              <w:jc w:val="center"/>
            </w:pPr>
            <w:r>
              <w:rPr>
                <w:rFonts w:ascii="Times New Roman" w:hAnsi="Times New Roman"/>
                <w:sz w:val="20"/>
              </w:rPr>
              <w:t>Naive</w:t>
            </w:r>
          </w:p>
        </w:tc>
        <w:tc>
          <w:tcPr>
            <w:tcW w:type="dxa" w:w="5102"/>
            <w:shd w:val="clear" w:color="auto" w:fill="FFFFFF"/>
          </w:tcPr>
          <w:p>
            <w:pPr>
              <w:jc w:val="center"/>
            </w:pPr>
            <w:r>
              <w:rPr>
                <w:rFonts w:ascii="Times New Roman" w:hAnsi="Times New Roman"/>
                <w:sz w:val="20"/>
              </w:rPr>
              <w:t>پوشش کامل با نسبت یک به یک</w:t>
            </w:r>
          </w:p>
        </w:tc>
        <w:tc>
          <w:tcPr>
            <w:tcW w:type="dxa" w:w="1701"/>
            <w:shd w:val="clear" w:color="auto" w:fill="FFFFFF"/>
          </w:tcPr>
          <w:p>
            <w:pPr>
              <w:jc w:val="center"/>
            </w:pPr>
            <w:r>
              <w:rPr>
                <w:rFonts w:ascii="Times New Roman" w:hAnsi="Times New Roman"/>
                <w:sz w:val="20"/>
              </w:rPr>
              <w:t>h = 1 (ثابت)</w:t>
            </w:r>
          </w:p>
        </w:tc>
      </w:tr>
      <w:tr>
        <w:tc>
          <w:tcPr>
            <w:tcW w:type="dxa" w:w="2268"/>
            <w:shd w:val="clear" w:color="auto" w:fill="EBF0F7"/>
          </w:tcPr>
          <w:p>
            <w:pPr>
              <w:jc w:val="center"/>
            </w:pPr>
            <w:r>
              <w:rPr>
                <w:rFonts w:ascii="Times New Roman" w:hAnsi="Times New Roman"/>
                <w:sz w:val="20"/>
              </w:rPr>
              <w:t>OLS Static</w:t>
            </w:r>
          </w:p>
        </w:tc>
        <w:tc>
          <w:tcPr>
            <w:tcW w:type="dxa" w:w="5102"/>
            <w:shd w:val="clear" w:color="auto" w:fill="EBF0F7"/>
          </w:tcPr>
          <w:p>
            <w:pPr>
              <w:jc w:val="center"/>
            </w:pPr>
            <w:r>
              <w:rPr>
                <w:rFonts w:ascii="Times New Roman" w:hAnsi="Times New Roman"/>
                <w:sz w:val="20"/>
              </w:rPr>
              <w:t>رگرسیون OLS روی کل بازه آموزش</w:t>
            </w:r>
          </w:p>
        </w:tc>
        <w:tc>
          <w:tcPr>
            <w:tcW w:type="dxa" w:w="1701"/>
            <w:shd w:val="clear" w:color="auto" w:fill="EBF0F7"/>
          </w:tcPr>
          <w:p>
            <w:pPr>
              <w:jc w:val="center"/>
            </w:pPr>
            <w:r>
              <w:rPr>
                <w:rFonts w:ascii="Times New Roman" w:hAnsi="Times New Roman"/>
                <w:sz w:val="20"/>
              </w:rPr>
              <w:t>h = β_OLS (ثابت)</w:t>
            </w:r>
          </w:p>
        </w:tc>
      </w:tr>
      <w:tr>
        <w:tc>
          <w:tcPr>
            <w:tcW w:type="dxa" w:w="2268"/>
            <w:shd w:val="clear" w:color="auto" w:fill="FFFFFF"/>
          </w:tcPr>
          <w:p>
            <w:pPr>
              <w:jc w:val="center"/>
            </w:pPr>
            <w:r>
              <w:rPr>
                <w:rFonts w:ascii="Times New Roman" w:hAnsi="Times New Roman"/>
                <w:sz w:val="20"/>
              </w:rPr>
              <w:t>OLS Rolling</w:t>
            </w:r>
          </w:p>
        </w:tc>
        <w:tc>
          <w:tcPr>
            <w:tcW w:type="dxa" w:w="5102"/>
            <w:shd w:val="clear" w:color="auto" w:fill="FFFFFF"/>
          </w:tcPr>
          <w:p>
            <w:pPr>
              <w:jc w:val="center"/>
            </w:pPr>
            <w:r>
              <w:rPr>
                <w:rFonts w:ascii="Times New Roman" w:hAnsi="Times New Roman"/>
                <w:sz w:val="20"/>
              </w:rPr>
              <w:t>رگرسیون OLS با پنجره غلتان ۶۰ روزه</w:t>
            </w:r>
          </w:p>
        </w:tc>
        <w:tc>
          <w:tcPr>
            <w:tcW w:type="dxa" w:w="1701"/>
            <w:shd w:val="clear" w:color="auto" w:fill="FFFFFF"/>
          </w:tcPr>
          <w:p>
            <w:pPr>
              <w:jc w:val="center"/>
            </w:pPr>
            <w:r>
              <w:rPr>
                <w:rFonts w:ascii="Times New Roman" w:hAnsi="Times New Roman"/>
                <w:sz w:val="20"/>
              </w:rPr>
              <w:t>h = β_t (متغیر)</w:t>
            </w:r>
          </w:p>
        </w:tc>
      </w:tr>
      <w:tr>
        <w:tc>
          <w:tcPr>
            <w:tcW w:type="dxa" w:w="2268"/>
            <w:shd w:val="clear" w:color="auto" w:fill="EBF0F7"/>
          </w:tcPr>
          <w:p>
            <w:pPr>
              <w:jc w:val="center"/>
            </w:pPr>
            <w:r>
              <w:rPr>
                <w:rFonts w:ascii="Times New Roman" w:hAnsi="Times New Roman"/>
                <w:sz w:val="20"/>
              </w:rPr>
              <w:t>CCC-GARCH Proxy</w:t>
            </w:r>
          </w:p>
        </w:tc>
        <w:tc>
          <w:tcPr>
            <w:tcW w:type="dxa" w:w="5102"/>
            <w:shd w:val="clear" w:color="auto" w:fill="EBF0F7"/>
          </w:tcPr>
          <w:p>
            <w:pPr>
              <w:jc w:val="center"/>
            </w:pPr>
            <w:r>
              <w:rPr>
                <w:rFonts w:ascii="Times New Roman" w:hAnsi="Times New Roman"/>
                <w:sz w:val="20"/>
              </w:rPr>
              <w:t>مدل CCC-GARCH با proxy برای محاسبه واریانس مشترک</w:t>
            </w:r>
          </w:p>
        </w:tc>
        <w:tc>
          <w:tcPr>
            <w:tcW w:type="dxa" w:w="1701"/>
            <w:shd w:val="clear" w:color="auto" w:fill="EBF0F7"/>
          </w:tcPr>
          <w:p>
            <w:pPr>
              <w:jc w:val="center"/>
            </w:pPr>
            <w:r>
              <w:rPr>
                <w:rFonts w:ascii="Times New Roman" w:hAnsi="Times New Roman"/>
                <w:sz w:val="20"/>
              </w:rPr>
              <w:t>h = h_CCC(t)</w:t>
            </w:r>
          </w:p>
        </w:tc>
      </w:tr>
      <w:tr>
        <w:tc>
          <w:tcPr>
            <w:tcW w:type="dxa" w:w="2268"/>
            <w:shd w:val="clear" w:color="auto" w:fill="FFFFFF"/>
          </w:tcPr>
          <w:p>
            <w:pPr>
              <w:jc w:val="center"/>
            </w:pPr>
            <w:r>
              <w:rPr>
                <w:rFonts w:ascii="Times New Roman" w:hAnsi="Times New Roman"/>
                <w:sz w:val="20"/>
              </w:rPr>
              <w:t>DCC-GARCH</w:t>
            </w:r>
          </w:p>
        </w:tc>
        <w:tc>
          <w:tcPr>
            <w:tcW w:type="dxa" w:w="5102"/>
            <w:shd w:val="clear" w:color="auto" w:fill="FFFFFF"/>
          </w:tcPr>
          <w:p>
            <w:pPr>
              <w:jc w:val="center"/>
            </w:pPr>
            <w:r>
              <w:rPr>
                <w:rFonts w:ascii="Times New Roman" w:hAnsi="Times New Roman"/>
                <w:sz w:val="20"/>
              </w:rPr>
              <w:t>مدل DCC-GARCH با همبستگی پویا</w:t>
            </w:r>
          </w:p>
        </w:tc>
        <w:tc>
          <w:tcPr>
            <w:tcW w:type="dxa" w:w="1701"/>
            <w:shd w:val="clear" w:color="auto" w:fill="FFFFFF"/>
          </w:tcPr>
          <w:p>
            <w:pPr>
              <w:jc w:val="center"/>
            </w:pPr>
            <w:r>
              <w:rPr>
                <w:rFonts w:ascii="Times New Roman" w:hAnsi="Times New Roman"/>
                <w:sz w:val="20"/>
              </w:rPr>
              <w:t>h = h_DCC(t)</w:t>
            </w:r>
          </w:p>
        </w:tc>
      </w:tr>
    </w:tbl>
    <w:p>
      <w:pPr>
        <w:spacing w:before="40" w:after="160"/>
        <w:jc w:val="center"/>
      </w:pPr>
      <w:r>
        <w:rPr>
          <w:rFonts w:ascii="Times New Roman" w:hAnsi="Times New Roman"/>
          <w:b/>
          <w:sz w:val="20"/>
        </w:rPr>
        <w:t xml:space="preserve">جدول 4.11 — </w:t>
      </w:r>
      <w:r>
        <w:rPr>
          <w:rFonts w:ascii="Times New Roman" w:hAnsi="Times New Roman"/>
          <w:i/>
          <w:sz w:val="20"/>
        </w:rPr>
        <w:t>استراتژی‌های benchmark مورد مقایسه با SAC</w:t>
      </w:r>
    </w:p>
    <w:p>
      <w:pPr>
        <w:ind w:firstLine="425"/>
        <w:jc w:val="both"/>
      </w:pPr>
      <w:r>
        <w:t>معیارهای ارزیابی شامل موارد زیر هستند: اثربخشی پوشش (HE: کاهش واریانس نسبت به NoHedge)، میانگین سود/زیان خالص (Mean Net P&amp;L)، ارزش در معرض ریسک در سطح ۹۵٪ (VaR₉₅)، زیان مورد انتظار (ES₉₅)، احتمال سودآوری (Prob Profit)، حداکثر کاهش ارزش (Max Drawdown)، و انحراف معیار نزولی (Downside Deviation). استفاده همزمان از این معیارها دیدگاه جامعی از عملکرد risk-adjusted هر استراتژی ارائه می‌دهد.</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