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SUSPECTED ADVERSE DRUG REACTION (ADR) REPORTING FORM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Pharmacovigilance Programme of India (PvPI) / CIOMS-style format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Patient identity and reporter identity are kept confidential. Reporting does not imply causation.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 No.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 date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 Oct 2026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 type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Initial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Spontaneous</w:t>
            </w:r>
          </w:p>
        </w:tc>
      </w:tr>
    </w:tbl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A. PATIENT INFORMATION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 initials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S.K.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 years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Female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 (kg)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Height (cm)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provided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 ID / Hospital no.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B. SUSPECTED ADVERSE REACTION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Reaction onset date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 Oct 2026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reaction stopped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Recovered; discharged 15 Oct 2026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rHeight w:val="15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 of reaction(s)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Patient with type 2 diabetes mellitus developed severe epigastric pain radiating to the back, with vomiting, on 09 Oct 2026, 37 days after starting semaglutide and 9 days after the dose was increased. Admitted 10 Oct 2026. Serum lipase 9 times the upper limit of normal. CT abdomen: acute edematous pancreatitis. Ultrasound: no gallstones. No alcohol intake; triglycerides normal. Diagnosis: acute pancreatitis.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rHeight w:val="7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Treatment given for the reaction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Semaglutide stopped on 10 Oct 2026. IV fluids, analgesia and bowel rest (nil by mouth).</w:t>
            </w:r>
          </w:p>
        </w:tc>
      </w:tr>
    </w:tbl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Outcome:  </w:t>
      </w:r>
      <w:r>
        <w:rPr>
          <w:rFonts w:ascii="Arial" w:cs="Arial" w:eastAsia="Arial" w:hAnsi="Arial"/>
          <w:sz w:val="18"/>
          <w:szCs w:val="18"/>
        </w:rPr>
        <w:t xml:space="preserve">☒ Recovered   ☐ Recovering   ☐ Not recovered   ☐ Recovered with sequelae   ☐ Fatal   ☐ Unknown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Seriousness criteria:  </w:t>
      </w:r>
      <w:r>
        <w:rPr>
          <w:rFonts w:ascii="Arial" w:cs="Arial" w:eastAsia="Arial" w:hAnsi="Arial"/>
          <w:sz w:val="18"/>
          <w:szCs w:val="18"/>
        </w:rPr>
        <w:t xml:space="preserve">☐ Death   ☐ Life-threatening   ☒ Hospitalization (new / prolonged)   ☐ Disability / incapacity   ☐ Congenital anomaly   ☐ Other medically important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Serious reaction:  </w:t>
      </w:r>
      <w:r>
        <w:rPr>
          <w:rFonts w:ascii="Arial" w:cs="Arial" w:eastAsia="Arial" w:hAnsi="Arial"/>
          <w:sz w:val="18"/>
          <w:szCs w:val="18"/>
        </w:rPr>
        <w:t xml:space="preserve">Yes</w:t>
      </w:r>
    </w:p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C. SUSPECTED MEDICATION(S)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306"/>
        <w:gridCol w:w="2300"/>
        <w:gridCol w:w="18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Drug name (brand / generic)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 / Lot no.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Expiry</w:t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Semaglutide (GLP-1 receptor agonist)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provided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provided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provided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000"/>
        <w:gridCol w:w="1400"/>
        <w:gridCol w:w="1500"/>
        <w:gridCol w:w="1500"/>
        <w:gridCol w:w="2706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date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date</w:t>
            </w:r>
          </w:p>
        </w:tc>
        <w:tc>
          <w:tcPr>
            <w:tcW w:type="dxa" w:w="2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Indication</w:t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0.25 mg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Once weekly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 Sep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2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2 diabetes mellitus</w:t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1b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mg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Once weekly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Sep 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Oct 2026</w:t>
            </w:r>
          </w:p>
        </w:tc>
        <w:tc>
          <w:tcPr>
            <w:tcW w:type="dxa" w:w="2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2 diabetes mellitus</w:t>
            </w:r>
          </w:p>
        </w:tc>
      </w:tr>
    </w:tbl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Action taken with suspected drug:  </w:t>
      </w:r>
      <w:r>
        <w:rPr>
          <w:rFonts w:ascii="Arial" w:cs="Arial" w:eastAsia="Arial" w:hAnsi="Arial"/>
          <w:sz w:val="18"/>
          <w:szCs w:val="18"/>
        </w:rPr>
        <w:t xml:space="preserve">☒ Withdrawn   ☐ Dose reduced   ☐ Dose increased   ☐ Dose unchanged   ☐ Not applicable   ☐ Unknown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Dechallenge (reaction abated after stopping):  </w:t>
      </w:r>
      <w:r>
        <w:rPr>
          <w:rFonts w:ascii="Arial" w:cs="Arial" w:eastAsia="Arial" w:hAnsi="Arial"/>
          <w:sz w:val="18"/>
          <w:szCs w:val="18"/>
        </w:rPr>
        <w:t xml:space="preserve">☒ Yes   ☐ No   ☐ Not applicable   ☐ Unknown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Rechallenge (reaction reappeared on re-exposure):  </w:t>
      </w:r>
      <w:r>
        <w:rPr>
          <w:rFonts w:ascii="Arial" w:cs="Arial" w:eastAsia="Arial" w:hAnsi="Arial"/>
          <w:sz w:val="18"/>
          <w:szCs w:val="18"/>
        </w:rPr>
        <w:t xml:space="preserve">☐ Yes   ☐ No   ☒ Not done   ☐ Unknown</w:t>
      </w:r>
    </w:p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D. CONCOMITANT MEDICATIONS AND RELEVANT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6"/>
        <w:gridCol w:w="1600"/>
        <w:gridCol w:w="16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Drug name</w:t>
            </w:r>
          </w:p>
        </w:tc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Dose / Route / Frequency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date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date</w:t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Metformin</w:t>
            </w:r>
          </w:p>
        </w:tc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 mg, oral, twice daily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Long-term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Continuing</w:t>
            </w:r>
          </w:p>
        </w:tc>
      </w:tr>
      <w:tr>
        <w:trPr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Amlodipine</w:t>
            </w:r>
          </w:p>
        </w:tc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mg, oral, once daily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Long-term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Continuing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rHeight w:val="8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Relevant medical history, allergies, risk factors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2 diabetes mellitus; hypertension (on amlodipine). No history of pancreatitis, gallstones or alcohol use. Triglycerides normal.</w:t>
            </w:r>
          </w:p>
        </w:tc>
      </w:tr>
    </w:tbl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E. CAUSALITY ASSESSMENT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Scale used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Naranjo and WHO-UMC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Naranjo total score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(Probable)</w:t>
            </w:r>
          </w:p>
        </w:tc>
      </w:tr>
    </w:tbl>
    <w:p>
      <w:pPr>
        <w:spacing w:after="60" w:before="80"/>
      </w:pP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WHO-UMC category:  </w:t>
      </w:r>
      <w:r>
        <w:rPr>
          <w:rFonts w:ascii="Arial" w:cs="Arial" w:eastAsia="Arial" w:hAnsi="Arial"/>
          <w:sz w:val="18"/>
          <w:szCs w:val="18"/>
        </w:rPr>
        <w:t xml:space="preserve">☐ Certain   ☒ Probable / Likely   ☐ Possible   ☐ Unlikely   ☐ Conditional / Unclassified   ☐ Unassessable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rHeight w:val="12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 for causality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Known reaction to GLP-1 receptor agonists. Onset 37 days after starting the drug and 9 days after dose escalation. Improved after withdrawal (positive dechallenge). Rechallenge not done. Gallstones, alcohol and hypertriglyceridemia excluded. Objective evidence: raised lipase and CT findings. Naranjo: previous reports +1, event after drug +2, improved on withdrawal +1, alternative causes excluded +2, objective evidence +1 = 7.</w:t>
            </w:r>
          </w:p>
        </w:tc>
      </w:tr>
    </w:tbl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F. SEVERITY AND PREVENTABILITY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Severity:  </w:t>
      </w:r>
      <w:r>
        <w:rPr>
          <w:rFonts w:ascii="Arial" w:cs="Arial" w:eastAsia="Arial" w:hAnsi="Arial"/>
          <w:sz w:val="18"/>
          <w:szCs w:val="18"/>
        </w:rPr>
        <w:t xml:space="preserve">☐ Mild   ☐ Moderate   ☒ Severe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Preventability:  </w:t>
      </w:r>
      <w:r>
        <w:rPr>
          <w:rFonts w:ascii="Arial" w:cs="Arial" w:eastAsia="Arial" w:hAnsi="Arial"/>
          <w:sz w:val="18"/>
          <w:szCs w:val="18"/>
        </w:rPr>
        <w:t xml:space="preserve">☐ Definitely preventable   ☐ Probably preventable   ☒ Not preventable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Known / labelled reaction for this drug:  </w:t>
      </w:r>
      <w:r>
        <w:rPr>
          <w:rFonts w:ascii="Arial" w:cs="Arial" w:eastAsia="Arial" w:hAnsi="Arial"/>
          <w:sz w:val="18"/>
          <w:szCs w:val="18"/>
        </w:rPr>
        <w:t xml:space="preserve">☒ Yes   ☐ No   ☐ Unknown</w:t>
      </w:r>
    </w:p>
    <w:p>
      <w:pPr>
        <w:keepNext/>
        <w:shd w:fill="1F3A5F" w:color="auto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G. REPORTER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Designation / Profession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Institution / Address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 Oct 2026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Submit to: nearest PvPI Adverse Drug Reaction Monitoring Centre (AMC), or report via the PvPI helpline / ADR PvPI app / website.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ADR Reporting Form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2026-10-17T17:14:11.710Z</dcterms:created>
  <dcterms:modified xsi:type="dcterms:W3CDTF">2026-10-17T17:14:11.727Z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