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AMENDMENT NO. 2 TO MASTER SUBSCRIPTION AGREEMENT</w:t>
      </w:r>
    </w:p>
    <w:p>
      <w:r>
        <w:t>This Amendment No. 2 is entered into between Conga Software, Inc. and Northwind Manufacturing, Inc. to update the commercial renewal terms for Conga CLM Enterprise.</w:t>
      </w:r>
    </w:p>
    <w:p>
      <w:r>
        <w:t>1. Commercial Override. Effective upon signature, this amendment supersedes the prior renewal pricing paragraph in the master agreement solely for the upcoming renewal cycle.</w:t>
      </w:r>
    </w:p>
    <w:p>
      <w:r>
        <w:t>2. Renewal Pricing Adjustment. Beginning with the next renewal term, subscription fees are subject to a 9% annual price increase. Supplier may implement the 9% annual price increase by providing Customer at least 60 days notice before the applicable renewal anniversary.</w:t>
      </w:r>
    </w:p>
    <w:p>
      <w:r>
        <w:t>3. Remaining Terms. Except as expressly amended herein, all remaining terms of the master agreement remain unchanged and in full force and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