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SUBSCRIPTION AGREEMENT</w:t>
      </w:r>
    </w:p>
    <w:p>
      <w:pPr>
        <w:spacing w:after="160"/>
      </w:pPr>
      <w:r>
        <w:t>This Master Subscription Agreement ("Agreement") is entered into as of April 1, 2025, by and between Conga Software, Inc., a Delaware corporation with its principal offices at 270 St. Paul Street, Denver, Colorado 80206 ("Supplier"), and Pinnacle Logistics Corp., a California corporation with its principal offices at 1400 Harbor Boulevard, Oakland, California 94607 ("Customer").</w:t>
      </w:r>
    </w:p>
    <w:p>
      <w:pPr>
        <w:spacing w:after="160"/>
      </w:pPr>
      <w:r>
        <w:t>WHEREAS, Customer desires to subscribe to Supplier's Conga Revenue Intelligence Suite (the "Service") for use by Customer's authorized users in connection with Customer's internal revenue operations, billing analytics, and contract lifecycle management activities; and</w:t>
      </w:r>
    </w:p>
    <w:p>
      <w:pPr>
        <w:spacing w:after="160"/>
      </w:pPr>
      <w:r>
        <w:t>WHEREAS, Supplier desires to provide such subscription subject to the terms and conditions set forth below;</w:t>
      </w:r>
    </w:p>
    <w:p>
      <w:pPr>
        <w:spacing w:after="160"/>
      </w:pPr>
      <w:r>
        <w:t>NOW, THEREFORE, the parties agree as follows:</w:t>
      </w:r>
    </w:p>
    <w:p>
      <w:pPr>
        <w:spacing w:after="200"/>
      </w:pPr>
      <w:r>
        <w:rPr>
          <w:b/>
        </w:rPr>
        <w:t xml:space="preserve">1. Definitions. </w:t>
      </w:r>
      <w:r>
        <w:t>"Authorized Users" means Customer's employees and contractors who are permitted to access the Service under this Agreement. "Subscription Term" means the initial term and any renewal terms. "Order Form" means a mutually executed document specifying the Service edition, quantities, pricing, and any additional terms.</w:t>
      </w:r>
    </w:p>
    <w:p>
      <w:pPr>
        <w:spacing w:after="200"/>
      </w:pPr>
      <w:r>
        <w:rPr>
          <w:b/>
        </w:rPr>
        <w:t xml:space="preserve">2. Subscription Term and Renewal. </w:t>
      </w:r>
      <w:r>
        <w:t>The initial subscription term commences on April 1, 2025 and continues through March 31, 2026 (the "Initial Term"). Thereafter, the subscription will automatically renew for successive twelve (12) month renewal terms (each a "Renewal Term") unless either party provides written notice of non-renewal at least thirty (30) days prior to the end of the then-current term.</w:t>
      </w:r>
    </w:p>
    <w:p>
      <w:pPr>
        <w:spacing w:after="200"/>
      </w:pPr>
      <w:r>
        <w:rPr>
          <w:b/>
        </w:rPr>
        <w:t xml:space="preserve">3. Fees and Invoicing. </w:t>
      </w:r>
      <w:r>
        <w:t>Customer will be invoiced monthly for five hundred (500) subscribed platform seats at a rate of Two Hundred Dollars ($200.00) per seat per month, for a total monthly commitment of One Hundred Thousand Dollars ($100,000.00). Undisputed invoices are due and payable net thirty (30) days from the date of receipt.</w:t>
      </w:r>
    </w:p>
    <w:p>
      <w:pPr>
        <w:spacing w:after="200"/>
      </w:pPr>
      <w:r>
        <w:rPr>
          <w:b/>
        </w:rPr>
        <w:t xml:space="preserve">4. Renewal Pricing Adjustment. </w:t>
      </w:r>
      <w:r>
        <w:t>Beginning with the first Renewal Term and on each subsequent renewal anniversary thereafter, the recurring subscription fees shall be subject to a three percent (3%) annual price increase. Supplier may implement the 3% annual price increase by providing Customer with at least thirty (30) days' prior written notice before the applicable renewal anniversary date.</w:t>
      </w:r>
    </w:p>
    <w:p>
      <w:pPr>
        <w:spacing w:after="200"/>
      </w:pPr>
      <w:r>
        <w:rPr>
          <w:b/>
        </w:rPr>
        <w:t xml:space="preserve">5. Service Levels and Support. </w:t>
      </w:r>
      <w:r>
        <w:t>Supplier will provide standard support during business hours (8:00 AM to 6:00 PM Mountain Time, Monday through Friday, excluding US federal holidays). Supplier will use commercially reasonable efforts to maintain Service availability of at least 99.5% during each calendar month.</w:t>
      </w:r>
    </w:p>
    <w:p>
      <w:pPr>
        <w:spacing w:after="200"/>
      </w:pPr>
      <w:r>
        <w:rPr>
          <w:b/>
        </w:rPr>
        <w:t xml:space="preserve">6. Data Security. </w:t>
      </w:r>
      <w:r>
        <w:t>Supplier will maintain administrative, technical, and physical safeguards designed to protect Customer Data from unauthorized access, disclosure, alteration, or destruction. Supplier will comply with SOC 2 Type II requirements and will provide audit reports upon reasonable request.</w:t>
      </w:r>
    </w:p>
    <w:p>
      <w:pPr>
        <w:spacing w:after="200"/>
      </w:pPr>
      <w:r>
        <w:rPr>
          <w:b/>
        </w:rPr>
        <w:t xml:space="preserve">7. Confidentiality. </w:t>
      </w:r>
      <w:r>
        <w:t>Each party agrees to treat the other party's Confidential Information with at least the same degree of care it uses to protect its own confidential information of like kind, but in no event less than reasonable care.</w:t>
      </w:r>
    </w:p>
    <w:p>
      <w:pPr>
        <w:spacing w:after="200"/>
      </w:pPr>
      <w:r>
        <w:rPr>
          <w:b/>
        </w:rPr>
        <w:t xml:space="preserve">8. Limitation of Liability. </w:t>
      </w:r>
      <w:r>
        <w:t>EXCEPT FOR BREACHES OF SECTION 6 (DATA SECURITY) OR SECTION 7 (CONFIDENTIALITY), NEITHER PARTY'S AGGREGATE LIABILITY UNDER THIS AGREEMENT SHALL EXCEED THE TOTAL FEES PAID OR PAYABLE BY CUSTOMER DURING THE TWELVE (12) MONTH PERIOD IMMEDIATELY PRECEDING THE CLAIM.</w:t>
      </w:r>
    </w:p>
    <w:p>
      <w:pPr>
        <w:spacing w:after="200"/>
      </w:pPr>
      <w:r>
        <w:rPr>
          <w:b/>
        </w:rPr>
        <w:t xml:space="preserve">9. Precedence. </w:t>
      </w:r>
      <w:r>
        <w:t>Order forms, amendments, and renewal schedules executed after the effective date of this Agreement may supersede the commercial terms herein to the extent expressly stated therein. In the event of a conflict between this Agreement and an Order Form, the Order Form shall prevail solely with respect to pricing, quantities, and service-specific commercial terms.</w:t>
      </w:r>
    </w:p>
    <w:p>
      <w:pPr>
        <w:spacing w:after="200"/>
      </w:pPr>
      <w:r>
        <w:rPr>
          <w:b/>
        </w:rPr>
        <w:t xml:space="preserve">10. General Provisions. </w:t>
      </w:r>
      <w:r>
        <w:t>This Agreement, together with any Order Forms, amendments, and statements of work, constitutes the entire agreement between the parties with respect to the subject matter hereof and supersedes all prior or contemporaneous agreements, proposals, negotiations, and communications, whether written or oral.</w:t>
      </w:r>
    </w:p>
    <w:p>
      <w:pPr>
        <w:spacing w:after="160"/>
      </w:pPr>
    </w:p>
    <w:p>
      <w:pPr>
        <w:spacing w:after="160"/>
      </w:pPr>
      <w:r>
        <w:t>IN WITNESS WHEREOF, the parties have executed this Agreement as of the date first written above.</w:t>
      </w:r>
    </w:p>
    <w:p>
      <w:pPr>
        <w:spacing w:after="160"/>
      </w:pPr>
    </w:p>
    <w:p>
      <w:pPr>
        <w:spacing w:after="160"/>
      </w:pPr>
      <w:r>
        <w:t>CONGA SOFTWARE, INC.</w:t>
      </w:r>
    </w:p>
    <w:p>
      <w:pPr>
        <w:spacing w:after="160"/>
      </w:pPr>
      <w:r>
        <w:t>By: /s/ Sarah Mitchell</w:t>
      </w:r>
    </w:p>
    <w:p>
      <w:pPr>
        <w:spacing w:after="160"/>
      </w:pPr>
      <w:r>
        <w:t>Name: Sarah Mitchell</w:t>
      </w:r>
    </w:p>
    <w:p>
      <w:pPr>
        <w:spacing w:after="160"/>
      </w:pPr>
      <w:r>
        <w:t>Title: VP, Commercial Operations</w:t>
      </w:r>
    </w:p>
    <w:p>
      <w:pPr>
        <w:spacing w:after="160"/>
      </w:pPr>
      <w:r>
        <w:t>Date: March 28, 2025</w:t>
      </w:r>
    </w:p>
    <w:p>
      <w:pPr>
        <w:spacing w:after="160"/>
      </w:pPr>
    </w:p>
    <w:p>
      <w:pPr>
        <w:spacing w:after="160"/>
      </w:pPr>
      <w:r>
        <w:t>PINNACLE LOGISTICS CORP.</w:t>
      </w:r>
    </w:p>
    <w:p>
      <w:pPr>
        <w:spacing w:after="160"/>
      </w:pPr>
      <w:r>
        <w:t>By: /s/ David Chen</w:t>
      </w:r>
    </w:p>
    <w:p>
      <w:pPr>
        <w:spacing w:after="160"/>
      </w:pPr>
      <w:r>
        <w:t>Name: David Chen</w:t>
      </w:r>
    </w:p>
    <w:p>
      <w:pPr>
        <w:spacing w:after="160"/>
      </w:pPr>
      <w:r>
        <w:t>Title: Chief Financial Officer</w:t>
      </w:r>
    </w:p>
    <w:p>
      <w:pPr>
        <w:spacing w:after="160"/>
      </w:pPr>
      <w:r>
        <w:t>Date: March 29,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