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Summit Commercial Amendment V4</w:t>
      </w:r>
    </w:p>
    <w:p>
      <w:r>
        <w:t>This Commercial Amendment is entered into by Conga Software, Inc. and Summit Distribution Group and supersedes prior pricing language solely for renewal uplift mechanics.</w:t>
      </w:r>
    </w:p>
    <w:p>
      <w:r>
        <w:t>Beginning January 1, 2026, recurring subscription charges are subject to a 10% annual uplift. Supplier may implement the 10% annual uplift upon providing Customer at least 60 days notice before the applicable renewal anniversary.</w:t>
      </w:r>
    </w:p>
    <w:p>
      <w:r>
        <w:t>This amendment overrides the earlier 4%, 6%, and 8% pricing references for the covered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