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RENEWAL NOTICE AND PRICING CONFIRMATION</w:t>
      </w:r>
    </w:p>
    <w:p>
      <w:pPr>
        <w:spacing w:after="160"/>
        <w:ind w:left="0"/>
      </w:pPr>
      <w:r>
        <w:t>Date: May 26, 2027</w:t>
      </w:r>
    </w:p>
    <w:p>
      <w:pPr>
        <w:spacing w:after="160"/>
        <w:ind w:left="0"/>
      </w:pPr>
      <w:r/>
    </w:p>
    <w:p>
      <w:pPr>
        <w:spacing w:after="160"/>
        <w:ind w:left="0"/>
      </w:pPr>
      <w:r>
        <w:t>To: apex health system</w:t>
      </w:r>
    </w:p>
    <w:p>
      <w:pPr>
        <w:spacing w:after="160"/>
        <w:ind w:left="0"/>
      </w:pPr>
      <w:r>
        <w:t>Attn: Chief Financial Officer</w:t>
      </w:r>
    </w:p>
    <w:p>
      <w:pPr>
        <w:spacing w:after="160"/>
        <w:ind w:left="0"/>
      </w:pPr>
      <w:r/>
    </w:p>
    <w:p>
      <w:pPr>
        <w:spacing w:after="160"/>
        <w:ind w:left="0"/>
      </w:pPr>
      <w:r>
        <w:t>From: Conga Software, Inc. — Commercial Operations</w:t>
      </w:r>
    </w:p>
    <w:p>
      <w:pPr>
        <w:spacing w:after="160"/>
        <w:ind w:left="0"/>
      </w:pPr>
      <w:r>
        <w:t>Re: Subscription Renewal — clm subscription</w:t>
      </w:r>
    </w:p>
    <w:p>
      <w:pPr>
        <w:spacing w:after="160"/>
        <w:ind w:left="0"/>
      </w:pPr>
      <w:r/>
    </w:p>
    <w:p>
      <w:pPr>
        <w:pStyle w:val="Heading2"/>
        <w:spacing w:before="240" w:after="120"/>
      </w:pPr>
      <w:r>
        <w:t>1. Notice of Renewal</w:t>
      </w:r>
    </w:p>
    <w:p>
      <w:pPr>
        <w:spacing w:after="160"/>
        <w:ind w:left="0"/>
      </w:pPr>
      <w:r>
        <w:t>Pursuant to Section 3 (Subscription Term) of the Master Subscription Agreement dated June 01, 2025 (the "Agreement"), Conga Software, Inc. hereby provides formal notice that the subscription for clm subscription will automatically renew for a twelve (12) month Renewal Term commencing on July 01, 2027.</w:t>
      </w:r>
    </w:p>
    <w:p>
      <w:pPr>
        <w:pStyle w:val="Heading2"/>
        <w:spacing w:before="240" w:after="120"/>
      </w:pPr>
      <w:r>
        <w:t>2. Revised Pricing Schedule</w:t>
      </w:r>
    </w:p>
    <w:p>
      <w:pPr>
        <w:spacing w:after="160"/>
        <w:ind w:left="0"/>
      </w:pPr>
      <w:r>
        <w:t>As set forth in Commercial Amendment No. 1 dated November 28, 2025, the Annual Uplift rate of 5.0% applies to the Renewal Term. The following pricing will take effect on July 01, 2027:</w:t>
      </w:r>
    </w:p>
    <w:tbl>
      <w:tblPr>
        <w:tblStyle w:val="TableGrid"/>
        <w:tblW w:type="auto" w:w="0"/>
        <w:tblLook w:firstColumn="1" w:firstRow="1" w:lastColumn="0" w:lastRow="0" w:noHBand="0" w:noVBand="1" w:val="04A0"/>
      </w:tblPr>
      <w:tblGrid>
        <w:gridCol w:w="4320"/>
        <w:gridCol w:w="4320"/>
      </w:tblGrid>
      <w:tr>
        <w:tc>
          <w:tcPr>
            <w:tcW w:type="dxa" w:w="4320"/>
          </w:tcPr>
          <w:p>
            <w:r>
              <w:rPr>
                <w:b/>
              </w:rPr>
              <w:t>Renewal Term</w:t>
            </w:r>
          </w:p>
        </w:tc>
        <w:tc>
          <w:tcPr>
            <w:tcW w:type="dxa" w:w="4320"/>
          </w:tcPr>
          <w:p>
            <w:r>
              <w:t>2027-07-01 to 2028-06-30</w:t>
            </w:r>
          </w:p>
        </w:tc>
      </w:tr>
      <w:tr>
        <w:tc>
          <w:tcPr>
            <w:tcW w:type="dxa" w:w="4320"/>
          </w:tcPr>
          <w:p>
            <w:r>
              <w:rPr>
                <w:b/>
              </w:rPr>
              <w:t>Product</w:t>
            </w:r>
          </w:p>
        </w:tc>
        <w:tc>
          <w:tcPr>
            <w:tcW w:type="dxa" w:w="4320"/>
          </w:tcPr>
          <w:p>
            <w:r>
              <w:t>clm subscription</w:t>
            </w:r>
          </w:p>
        </w:tc>
      </w:tr>
      <w:tr>
        <w:tc>
          <w:tcPr>
            <w:tcW w:type="dxa" w:w="4320"/>
          </w:tcPr>
          <w:p>
            <w:r>
              <w:rPr>
                <w:b/>
              </w:rPr>
              <w:t>Number of Seats</w:t>
            </w:r>
          </w:p>
        </w:tc>
        <w:tc>
          <w:tcPr>
            <w:tcW w:type="dxa" w:w="4320"/>
          </w:tcPr>
          <w:p>
            <w:r>
              <w:t>1</w:t>
            </w:r>
          </w:p>
        </w:tc>
      </w:tr>
      <w:tr>
        <w:tc>
          <w:tcPr>
            <w:tcW w:type="dxa" w:w="4320"/>
          </w:tcPr>
          <w:p>
            <w:r>
              <w:rPr>
                <w:b/>
              </w:rPr>
              <w:t>Price per Seat (monthly)</w:t>
            </w:r>
          </w:p>
        </w:tc>
        <w:tc>
          <w:tcPr>
            <w:tcW w:type="dxa" w:w="4320"/>
          </w:tcPr>
          <w:p>
            <w:r>
              <w:t>$1,050.00</w:t>
            </w:r>
          </w:p>
        </w:tc>
      </w:tr>
      <w:tr>
        <w:tc>
          <w:tcPr>
            <w:tcW w:type="dxa" w:w="4320"/>
          </w:tcPr>
          <w:p>
            <w:r>
              <w:rPr>
                <w:b/>
              </w:rPr>
              <w:t>Total Monthly Commitment</w:t>
            </w:r>
          </w:p>
        </w:tc>
        <w:tc>
          <w:tcPr>
            <w:tcW w:type="dxa" w:w="4320"/>
          </w:tcPr>
          <w:p>
            <w:r>
              <w:t>$1,050.00</w:t>
            </w:r>
          </w:p>
        </w:tc>
      </w:tr>
      <w:tr>
        <w:tc>
          <w:tcPr>
            <w:tcW w:type="dxa" w:w="4320"/>
          </w:tcPr>
          <w:p>
            <w:r>
              <w:rPr>
                <w:b/>
              </w:rPr>
              <w:t>Total Annual Commitment</w:t>
            </w:r>
          </w:p>
        </w:tc>
        <w:tc>
          <w:tcPr>
            <w:tcW w:type="dxa" w:w="4320"/>
          </w:tcPr>
          <w:p>
            <w:r>
              <w:t>$12,600.00</w:t>
            </w:r>
          </w:p>
        </w:tc>
      </w:tr>
      <w:tr>
        <w:tc>
          <w:tcPr>
            <w:tcW w:type="dxa" w:w="4320"/>
          </w:tcPr>
          <w:p>
            <w:r>
              <w:rPr>
                <w:b/>
              </w:rPr>
              <w:t>Annual Uplift Rate Applied</w:t>
            </w:r>
          </w:p>
        </w:tc>
        <w:tc>
          <w:tcPr>
            <w:tcW w:type="dxa" w:w="4320"/>
          </w:tcPr>
          <w:p>
            <w:r>
              <w:t>5.0%</w:t>
            </w:r>
          </w:p>
        </w:tc>
      </w:tr>
      <w:tr>
        <w:tc>
          <w:tcPr>
            <w:tcW w:type="dxa" w:w="4320"/>
          </w:tcPr>
          <w:p>
            <w:r>
              <w:rPr>
                <w:b/>
              </w:rPr>
              <w:t>Governing Amendment</w:t>
            </w:r>
          </w:p>
        </w:tc>
        <w:tc>
          <w:tcPr>
            <w:tcW w:type="dxa" w:w="4320"/>
          </w:tcPr>
          <w:p>
            <w:r>
              <w:t>Commercial Amendment No. 1</w:t>
            </w:r>
          </w:p>
        </w:tc>
      </w:tr>
    </w:tbl>
    <w:p/>
    <w:p>
      <w:pPr>
        <w:pStyle w:val="Heading2"/>
        <w:spacing w:before="240" w:after="120"/>
      </w:pPr>
      <w:r>
        <w:t>3. Basis for Pricing</w:t>
      </w:r>
    </w:p>
    <w:p>
      <w:pPr>
        <w:spacing w:after="160"/>
        <w:ind w:left="0"/>
      </w:pPr>
      <w:r>
        <w:t>The revised pricing reflects the 5.0% Annual Uplift rate agreed in Commercial Amendment No. 1. The original Annual Uplift rate of 2.0% set forth in the Master Subscription Agreement was superseded by Commercial Amendment No. 1 and does not apply to this Renewal Term.</w:t>
      </w:r>
    </w:p>
    <w:p>
      <w:pPr>
        <w:pStyle w:val="Heading2"/>
        <w:spacing w:before="240" w:after="120"/>
      </w:pPr>
      <w:r>
        <w:t>4. Non-Renewal</w:t>
      </w:r>
    </w:p>
    <w:p>
      <w:pPr>
        <w:spacing w:after="160"/>
        <w:ind w:left="0"/>
      </w:pPr>
      <w:r>
        <w:t>If Customer does not wish to renew, Customer must provide written notice of non-renewal to Conga Software, Inc. no later than May 31, 2027. If no such notice is received by that date, the subscription will automatically renew on the terms described herein.</w:t>
      </w:r>
    </w:p>
    <w:p>
      <w:pPr>
        <w:pStyle w:val="Heading2"/>
        <w:spacing w:before="240" w:after="120"/>
      </w:pPr>
      <w:r>
        <w:t>5. Next Steps</w:t>
      </w:r>
    </w:p>
    <w:p>
      <w:pPr>
        <w:spacing w:after="160"/>
        <w:ind w:left="0"/>
      </w:pPr>
      <w:r>
        <w:t>No action is required if Customer wishes to renew under the pricing and terms described in this notice. Invoices for the Renewal Term will be issued automatically at the updated pricing. If you have questions or require an updated Order Form, please contact your Conga Software, Inc. account manager.</w:t>
      </w:r>
    </w:p>
    <w:p>
      <w:pPr>
        <w:spacing w:after="160"/>
        <w:ind w:left="0"/>
      </w:pPr>
      <w:r/>
    </w:p>
    <w:p>
      <w:pPr>
        <w:spacing w:after="160"/>
        <w:ind w:left="0"/>
      </w:pPr>
      <w:r>
        <w:t>This notice is provided in accordance with the Agreement.</w:t>
      </w:r>
    </w:p>
    <w:p>
      <w:pPr>
        <w:spacing w:after="160"/>
        <w:ind w:left="0"/>
      </w:pPr>
      <w:r/>
    </w:p>
    <w:p>
      <w:pPr>
        <w:spacing w:after="160"/>
        <w:ind w:left="0"/>
      </w:pPr>
      <w:r>
        <w:t>Sincerely,</w:t>
      </w:r>
    </w:p>
    <w:p>
      <w:pPr>
        <w:spacing w:after="160"/>
        <w:ind w:left="0"/>
      </w:pPr>
      <w:r/>
    </w:p>
    <w:p>
      <w:pPr>
        <w:spacing w:after="160"/>
        <w:ind w:left="0"/>
      </w:pPr>
      <w:r>
        <w:t>Sarah Mitchell</w:t>
      </w:r>
    </w:p>
    <w:p>
      <w:pPr>
        <w:spacing w:after="160"/>
        <w:ind w:left="0"/>
      </w:pPr>
      <w:r>
        <w:t>VP, Commercial Operations</w:t>
      </w:r>
    </w:p>
    <w:p>
      <w:pPr>
        <w:spacing w:after="160"/>
        <w:ind w:left="0"/>
      </w:pPr>
      <w:r>
        <w:t>Conga Software, Inc.</w:t>
      </w:r>
    </w:p>
    <w:p>
      <w:pPr>
        <w:spacing w:after="160"/>
        <w:ind w:left="0"/>
      </w:pPr>
      <w:r>
        <w:t>Date: May 26,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