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RETAIL OPERATIONS MEMO</w:t>
      </w:r>
    </w:p>
    <w:p>
      <w:pPr>
        <w:spacing w:after="160"/>
      </w:pPr>
      <w:r>
        <w:t>Prepared for: Harborline Retail Group</w:t>
      </w:r>
    </w:p>
    <w:p>
      <w:pPr>
        <w:spacing w:after="160"/>
      </w:pPr>
      <w:r>
        <w:t>Document date: April 22, 2026</w:t>
      </w:r>
    </w:p>
    <w:p>
      <w:pPr>
        <w:spacing w:after="160"/>
      </w:pPr>
      <w:r>
        <w:t>This internal planning memo relates to Conga Orchestrate Standard operations, adoption planning, and customer-success execution. It is not a signed commercial instrument and does not modify contractual pricing or renewal rights.</w:t>
      </w:r>
    </w:p>
    <w:p>
      <w:pPr>
        <w:spacing w:after="200"/>
      </w:pPr>
      <w:r>
        <w:rPr>
          <w:b/>
        </w:rPr>
        <w:t xml:space="preserve">1. Operational Context. </w:t>
      </w:r>
      <w:r>
        <w:t>Operations requested weekend enablement support, store manager training, and a rollout checklist for newly acquired store locations.</w:t>
      </w:r>
    </w:p>
    <w:p>
      <w:pPr>
        <w:spacing w:after="200"/>
      </w:pPr>
      <w:r>
        <w:rPr>
          <w:b/>
        </w:rPr>
        <w:t xml:space="preserve">2. Non-Controlling Status. </w:t>
      </w:r>
      <w:r>
        <w:t>This memo is for internal planning only. It does not establish pricing, uplift, notice obligations, billing mechanics, or document precedence.</w:t>
      </w:r>
    </w:p>
    <w:p>
      <w:pPr>
        <w:spacing w:after="200"/>
      </w:pPr>
      <w:r>
        <w:rPr>
          <w:b/>
        </w:rPr>
        <w:t xml:space="preserve">3. Next Steps. </w:t>
      </w:r>
      <w:r>
        <w:t>Track implementation readiness separately from renewal pricing and legal notice workflows.</w:t>
      </w:r>
    </w:p>
    <w:p>
      <w:pPr>
        <w:spacing w:after="160"/>
      </w:pPr>
      <w:r>
        <w:t>Author: Sarah Mitchell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