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COMMERCIAL AMENDMENT NO. 2</w:t>
      </w:r>
    </w:p>
    <w:p>
      <w:pPr>
        <w:pStyle w:val="Heading2"/>
      </w:pPr>
      <w:r>
        <w:t>to the agreement effective June 9, 2025</w:t>
      </w:r>
    </w:p>
    <w:p>
      <w:pPr>
        <w:spacing w:after="160"/>
      </w:pPr>
      <w:r>
        <w:t>This amendment is entered into as of April 15, 2026 by and between Conga Software, Inc. and Harborline Retail Group. It amends the commercial pricing terms solely as described below.</w:t>
      </w:r>
    </w:p>
    <w:p>
      <w:pPr>
        <w:spacing w:after="200"/>
      </w:pPr>
      <w:r>
        <w:rPr>
          <w:b/>
        </w:rPr>
        <w:t xml:space="preserve">1. Amended Renewal Pricing. </w:t>
      </w:r>
      <w:r>
        <w:t>Beginning with the renewal term commencing on June 9, 2026, recurring subscription fees are subject to a 5% annual uplift. Supplier may implement the 5% annual uplift by providing Customer at least 45 days written notice before the applicable renewal anniversary.</w:t>
      </w:r>
    </w:p>
    <w:p>
      <w:pPr>
        <w:spacing w:after="200"/>
      </w:pPr>
      <w:r>
        <w:rPr>
          <w:b/>
        </w:rPr>
        <w:t xml:space="preserve">2. Supersession. </w:t>
      </w:r>
      <w:r>
        <w:t>This amendment supersedes and replaces any prior 2% uplift references for the covered product line, but all other terms of the underlying agreement remain unchanged and in full force.</w:t>
      </w:r>
    </w:p>
    <w:p>
      <w:pPr>
        <w:spacing w:after="200"/>
      </w:pPr>
      <w:r>
        <w:rPr>
          <w:b/>
        </w:rPr>
        <w:t xml:space="preserve">3. Commercial Rationale. </w:t>
      </w:r>
      <w:r>
        <w:t>The retailer added new regions and the amendment supersedes the original uplift language for the next renewal cycle.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April 15, 2026</w:t>
      </w:r>
    </w:p>
    <w:p>
      <w:pPr>
        <w:spacing w:after="160"/>
      </w:pPr>
    </w:p>
    <w:p>
      <w:pPr>
        <w:spacing w:after="160"/>
      </w:pPr>
      <w:r>
        <w:t>HARBORLINE RETAIL GROUP</w:t>
      </w:r>
    </w:p>
    <w:p>
      <w:pPr>
        <w:spacing w:after="160"/>
      </w:pPr>
      <w:r>
        <w:t>By: /s/ Aisha Rahman</w:t>
      </w:r>
    </w:p>
    <w:p>
      <w:pPr>
        <w:spacing w:after="160"/>
      </w:pPr>
      <w:r>
        <w:t>Name: Aisha Rahman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April 15,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