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MASTER SUBSCRIPTION AGREEMENT</w:t>
      </w:r>
    </w:p>
    <w:p>
      <w:pPr>
        <w:spacing w:after="160"/>
        <w:ind w:left="0"/>
      </w:pPr>
      <w:r>
        <w:t>This Master Subscription Agreement ("Agreement") is entered into as of June 01, 2024, by and between Conga Software, Inc. ("Supplier") and Horizon Retail ("Customer").</w:t>
      </w:r>
    </w:p>
    <w:p>
      <w:pPr>
        <w:spacing w:after="160"/>
        <w:ind w:left="0"/>
      </w:pPr>
      <w:r>
        <w:t>WHEREAS, Customer desires to subscribe to Supplier's Conga CLM Enterprise (the "Service") for use by Customer's authorized users in connection with Customer's internal business operations; and</w:t>
      </w:r>
    </w:p>
    <w:p>
      <w:pPr>
        <w:spacing w:after="160"/>
        <w:ind w:left="0"/>
      </w:pPr>
      <w:r>
        <w:t>WHEREAS, Supplier desires to provide such subscription subject to the terms and conditions set forth below;</w:t>
      </w:r>
    </w:p>
    <w:p>
      <w:pPr>
        <w:spacing w:after="160"/>
        <w:ind w:left="0"/>
      </w:pPr>
      <w:r>
        <w:t>NOW, THEREFORE, in consideration of the mutual covenants herein, the parties agree as follows:</w:t>
      </w:r>
    </w:p>
    <w:p>
      <w:pPr>
        <w:spacing w:after="200"/>
        <w:ind w:left="288"/>
      </w:pPr>
      <w:r>
        <w:rPr>
          <w:b/>
        </w:rPr>
        <w:t xml:space="preserve">Section 1. Definitions. </w:t>
      </w:r>
      <w:r>
        <w:t>"Authorized Users" means Customer's employees and contractors permitted to access the Service. "Order Form" means a mutually executed document specifying edition, quantities, and pricing. "Subscription Term" means the Initial Term and any Renewal Terms. "Confidential Information" means any non-public information disclosed by one party to the other that is designated as confidential or that reasonably should be understood to be confidential given the nature of the information and circumstances of disclosure.</w:t>
      </w:r>
    </w:p>
    <w:p>
      <w:pPr>
        <w:spacing w:after="200"/>
        <w:ind w:left="288"/>
      </w:pPr>
      <w:r>
        <w:rPr>
          <w:b/>
        </w:rPr>
        <w:t xml:space="preserve">Section 2. Subscription Grant. </w:t>
      </w:r>
      <w:r>
        <w:t>Subject to Customer's payment of all fees, Supplier grants Customer a limited, non-exclusive, non-transferable right to access and use the Service for Customer's internal business purposes during the Subscription Term. Customer may not sublicense, resell, or permit use of the Service by any third party without Supplier's prior written consent.</w:t>
      </w:r>
    </w:p>
    <w:p>
      <w:pPr>
        <w:spacing w:after="200"/>
        <w:ind w:left="288"/>
      </w:pPr>
      <w:r>
        <w:rPr>
          <w:b/>
        </w:rPr>
        <w:t xml:space="preserve">Section 3. Subscription Term. </w:t>
      </w:r>
      <w:r>
        <w:t>The Initial Term commences on June 01, 2024 and continues through May 31, 2025. Thereafter, this Agreement will automatically renew for successive twelve (12) month Renewal Terms unless either party provides written notice of non-renewal at least 30 days prior to the end of the then-current term.</w:t>
      </w:r>
    </w:p>
    <w:p>
      <w:pPr>
        <w:spacing w:after="200"/>
        <w:ind w:left="288"/>
      </w:pPr>
      <w:r>
        <w:rPr>
          <w:b/>
        </w:rPr>
        <w:t xml:space="preserve">Section 4. Fees and Payment. </w:t>
      </w:r>
      <w:r>
        <w:t>Customer will pay a monthly subscription fee of $9,500.00 per authorized seat. As of the Effective Date, Customer has subscribed for 150 seats, for a total monthly commitment of $1,425,000.00 ($17,100,000.00 annually). Undisputed invoices are due net thirty (30) days from invoice date. Late payments accrue interest at 1.5% per month or the maximum rate permitted by law, whichever is lower.</w:t>
      </w:r>
    </w:p>
    <w:p>
      <w:pPr>
        <w:spacing w:after="200"/>
        <w:ind w:left="288"/>
      </w:pPr>
      <w:r>
        <w:rPr>
          <w:b/>
        </w:rPr>
        <w:t xml:space="preserve">Section 5. Annual Price Adjustment. </w:t>
      </w:r>
      <w:r>
        <w:t>Beginning with the first Renewal Term and on each subsequent anniversary of the Effective Date, the recurring subscription fees shall increase by 4.0% (the "Annual Uplift"). Supplier shall provide Customer with at least 30 days' prior written notice before the applicable anniversary date. If Supplier fails to provide timely notice, the Annual Uplift right for that period shall be deferred to the following anniversary.</w:t>
      </w:r>
    </w:p>
    <w:p>
      <w:pPr>
        <w:spacing w:after="200"/>
        <w:ind w:left="288"/>
      </w:pPr>
      <w:r>
        <w:rPr>
          <w:b/>
        </w:rPr>
        <w:t xml:space="preserve">Section 6. Service Levels. </w:t>
      </w:r>
      <w:r>
        <w:t>Supplier will use commercially reasonable efforts to maintain Service availability of at least 99.5% uptime measured monthly, excluding scheduled maintenance windows communicated at least 48 hours in advance. In the event of a material service outage exceeding four (4) consecutive hours, Customer may request a service credit equal to five percent (5%) of the monthly subscription fee for the affected month.</w:t>
      </w:r>
    </w:p>
    <w:p>
      <w:pPr>
        <w:spacing w:after="200"/>
        <w:ind w:left="288"/>
      </w:pPr>
      <w:r>
        <w:rPr>
          <w:b/>
        </w:rPr>
        <w:t xml:space="preserve">Section 7. Data Protection. </w:t>
      </w:r>
      <w:r>
        <w:t>Supplier will maintain reasonable administrative, technical, and physical safeguards to protect Customer Data. Supplier will comply with applicable data protection laws and will notify Customer within 72 hours of discovering a security incident that materially affects Customer Data.</w:t>
      </w:r>
    </w:p>
    <w:p>
      <w:pPr>
        <w:spacing w:after="200"/>
        <w:ind w:left="288"/>
      </w:pPr>
      <w:r>
        <w:rPr>
          <w:b/>
        </w:rPr>
        <w:t xml:space="preserve">Section 8. Confidentiality. </w:t>
      </w:r>
      <w:r>
        <w:t>Each party agrees not to disclose the other party's Confidential Information to any third party without prior written consent, and to use Confidential Information only as necessary to perform obligations under this Agreement. Each party will protect Confidential Information with at least the same degree of care it uses for its own similar information, but no less than reasonable care. Obligations survive termination for three (3) years.</w:t>
      </w:r>
    </w:p>
    <w:p>
      <w:pPr>
        <w:spacing w:after="200"/>
        <w:ind w:left="288"/>
      </w:pPr>
      <w:r>
        <w:rPr>
          <w:b/>
        </w:rPr>
        <w:t xml:space="preserve">Section 9. Intellectual Property. </w:t>
      </w:r>
      <w:r>
        <w:t>Supplier retains all right, title, and interest in and to the Service, including all underlying software, algorithms, models, and documentation. Customer retains all right, title, and interest in and to Customer Data. Nothing in this Agreement transfers ownership of either party's IP to the other.</w:t>
      </w:r>
    </w:p>
    <w:p>
      <w:pPr>
        <w:spacing w:after="200"/>
        <w:ind w:left="288"/>
      </w:pPr>
      <w:r>
        <w:rPr>
          <w:b/>
        </w:rPr>
        <w:t xml:space="preserve">Section 10. Limitation of Liability. </w:t>
      </w:r>
      <w:r>
        <w:t>EXCEPT FOR BREACHES OF SECTION 7 (DATA PROTECTION) OR SECTION 8 (CONFIDENTIALITY), OR FOR INDEMNIFICATION OBLIGATIONS, NEITHER PARTY'S AGGREGATE LIABILITY UNDER THIS AGREEMENT SHALL EXCEED THE TOTAL FEES PAID OR PAYABLE BY CUSTOMER DURING THE TWELVE (12) MONTH PERIOD IMMEDIATELY PRECEDING THE CLAIM. IN NO EVENT SHALL EITHER PARTY BE LIABLE FOR ANY INDIRECT, INCIDENTAL, SPECIAL, OR CONSEQUENTIAL DAMAGES.</w:t>
      </w:r>
    </w:p>
    <w:p>
      <w:pPr>
        <w:spacing w:after="200"/>
        <w:ind w:left="288"/>
      </w:pPr>
      <w:r>
        <w:rPr>
          <w:b/>
        </w:rPr>
        <w:t xml:space="preserve">Section 11. Termination. </w:t>
      </w:r>
      <w:r>
        <w:t>Either party may terminate this Agreement upon written notice if the other party materially breaches this Agreement and fails to cure such breach within thirty (30) days of receiving written notice. Upon termination, Customer's right to access the Service ceases and all unpaid fees become immediately due.</w:t>
      </w:r>
    </w:p>
    <w:p>
      <w:pPr>
        <w:spacing w:after="200"/>
        <w:ind w:left="288"/>
      </w:pPr>
      <w:r>
        <w:rPr>
          <w:b/>
        </w:rPr>
        <w:t xml:space="preserve">Section 12. Governing Law and Disputes. </w:t>
      </w:r>
      <w:r>
        <w:t>This Agreement will be governed by the laws of the State of Delaware, without regard to conflict-of-law principles. The parties agree to first attempt good-faith negotiation to resolve any dispute. If unresolved within 30 days, disputes shall be settled by binding arbitration under JAMS rules in San Francisco, California.</w:t>
      </w:r>
    </w:p>
    <w:p>
      <w:pPr>
        <w:spacing w:after="200"/>
        <w:ind w:left="288"/>
      </w:pPr>
      <w:r>
        <w:rPr>
          <w:b/>
        </w:rPr>
        <w:t xml:space="preserve">Section 13. Amendment Priority. </w:t>
      </w:r>
      <w:r>
        <w:t>Order Forms, commercial amendments, and renewal schedules executed after the Effective Date may modify the commercial terms herein. In the event of a conflict between this Agreement and an Order Form or Amendment, the later-dated instrument shall control solely with respect to the conflicting commercial terms.</w:t>
      </w:r>
    </w:p>
    <w:p>
      <w:pPr>
        <w:spacing w:after="200"/>
        <w:ind w:left="288"/>
      </w:pPr>
      <w:r>
        <w:rPr>
          <w:b/>
        </w:rPr>
        <w:t xml:space="preserve">Section 14. Entire Agreement. </w:t>
      </w:r>
      <w:r>
        <w:t>This Agreement, together with all Order Forms, amendments, and exhibits, constitutes the entire agreement between the parties with respect to the subject matter and supersedes all prior or contemporaneous negotiations and communications, whether written or oral.</w:t>
      </w:r>
    </w:p>
    <w:p>
      <w:r>
        <w:br w:type="page"/>
      </w:r>
    </w:p>
    <w:p>
      <w:pPr>
        <w:spacing w:after="160"/>
        <w:ind w:left="0"/>
      </w:pPr>
      <w:r>
        <w:t>IN WITNESS WHEREOF, the parties have executed this Agreement as of the date first written above.</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May 29, 2024</w:t>
      </w:r>
    </w:p>
    <w:p>
      <w:pPr>
        <w:spacing w:after="160"/>
        <w:ind w:left="0"/>
      </w:pPr>
      <w:r/>
    </w:p>
    <w:p/>
    <w:p>
      <w:pPr>
        <w:spacing w:after="160"/>
        <w:ind w:left="0"/>
      </w:pPr>
      <w:r>
        <w:t>HORIZON RETAIL</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May 30,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