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ORDER FORM</w:t>
      </w:r>
    </w:p>
    <w:p>
      <w:pPr>
        <w:pStyle w:val="Heading2"/>
        <w:spacing w:before="240" w:after="120"/>
      </w:pPr>
      <w:r>
        <w:t>Order Form No. OF-2024-001</w:t>
      </w:r>
    </w:p>
    <w:p>
      <w:pPr>
        <w:spacing w:after="160"/>
        <w:ind w:left="0"/>
      </w:pPr>
      <w:r>
        <w:t>This Order Form ("Order Form") is entered into as of June 01, 2024 between Conga Software, Inc. ("Supplier") and Horizon Retail ("Customer") and is governed by the Master Subscription Agreement between the parties dated June 01, 2024 (the "Agreement").</w:t>
      </w:r>
    </w:p>
    <w:p>
      <w:pPr>
        <w:pStyle w:val="Heading2"/>
        <w:spacing w:before="240" w:after="120"/>
      </w:pPr>
      <w:r>
        <w:t>1. Service Details</w:t>
      </w:r>
    </w:p>
    <w:tbl>
      <w:tblPr>
        <w:tblStyle w:val="TableGrid"/>
        <w:tblW w:type="auto" w:w="0"/>
        <w:tblLook w:firstColumn="1" w:firstRow="1" w:lastColumn="0" w:lastRow="0" w:noHBand="0" w:noVBand="1" w:val="04A0"/>
      </w:tblPr>
      <w:tblGrid>
        <w:gridCol w:w="4320"/>
        <w:gridCol w:w="4320"/>
      </w:tblGrid>
      <w:tr>
        <w:tc>
          <w:tcPr>
            <w:tcW w:type="dxa" w:w="4320"/>
          </w:tcPr>
          <w:p>
            <w:r>
              <w:rPr>
                <w:b/>
              </w:rPr>
              <w:t>Product</w:t>
            </w:r>
          </w:p>
        </w:tc>
        <w:tc>
          <w:tcPr>
            <w:tcW w:type="dxa" w:w="4320"/>
          </w:tcPr>
          <w:p>
            <w:r>
              <w:t>Conga CLM Enterprise</w:t>
            </w:r>
          </w:p>
        </w:tc>
      </w:tr>
      <w:tr>
        <w:tc>
          <w:tcPr>
            <w:tcW w:type="dxa" w:w="4320"/>
          </w:tcPr>
          <w:p>
            <w:r>
              <w:rPr>
                <w:b/>
              </w:rPr>
              <w:t>Edition</w:t>
            </w:r>
          </w:p>
        </w:tc>
        <w:tc>
          <w:tcPr>
            <w:tcW w:type="dxa" w:w="4320"/>
          </w:tcPr>
          <w:p>
            <w:r>
              <w:t>Enterprise</w:t>
            </w:r>
          </w:p>
        </w:tc>
      </w:tr>
      <w:tr>
        <w:tc>
          <w:tcPr>
            <w:tcW w:type="dxa" w:w="4320"/>
          </w:tcPr>
          <w:p>
            <w:r>
              <w:rPr>
                <w:b/>
              </w:rPr>
              <w:t>Subscription Term</w:t>
            </w:r>
          </w:p>
        </w:tc>
        <w:tc>
          <w:tcPr>
            <w:tcW w:type="dxa" w:w="4320"/>
          </w:tcPr>
          <w:p>
            <w:r>
              <w:t>2024-06-01 to 2025-05-31</w:t>
            </w:r>
          </w:p>
        </w:tc>
      </w:tr>
      <w:tr>
        <w:tc>
          <w:tcPr>
            <w:tcW w:type="dxa" w:w="4320"/>
          </w:tcPr>
          <w:p>
            <w:r>
              <w:rPr>
                <w:b/>
              </w:rPr>
              <w:t>Number of Seats</w:t>
            </w:r>
          </w:p>
        </w:tc>
        <w:tc>
          <w:tcPr>
            <w:tcW w:type="dxa" w:w="4320"/>
          </w:tcPr>
          <w:p>
            <w:r>
              <w:t>150</w:t>
            </w:r>
          </w:p>
        </w:tc>
      </w:tr>
      <w:tr>
        <w:tc>
          <w:tcPr>
            <w:tcW w:type="dxa" w:w="4320"/>
          </w:tcPr>
          <w:p>
            <w:r>
              <w:rPr>
                <w:b/>
              </w:rPr>
              <w:t>Price per Seat (monthly)</w:t>
            </w:r>
          </w:p>
        </w:tc>
        <w:tc>
          <w:tcPr>
            <w:tcW w:type="dxa" w:w="4320"/>
          </w:tcPr>
          <w:p>
            <w:r>
              <w:t>$9,500.00</w:t>
            </w:r>
          </w:p>
        </w:tc>
      </w:tr>
      <w:tr>
        <w:tc>
          <w:tcPr>
            <w:tcW w:type="dxa" w:w="4320"/>
          </w:tcPr>
          <w:p>
            <w:r>
              <w:rPr>
                <w:b/>
              </w:rPr>
              <w:t>Monthly Commitment</w:t>
            </w:r>
          </w:p>
        </w:tc>
        <w:tc>
          <w:tcPr>
            <w:tcW w:type="dxa" w:w="4320"/>
          </w:tcPr>
          <w:p>
            <w:r>
              <w:t>$1,425,000.00</w:t>
            </w:r>
          </w:p>
        </w:tc>
      </w:tr>
      <w:tr>
        <w:tc>
          <w:tcPr>
            <w:tcW w:type="dxa" w:w="4320"/>
          </w:tcPr>
          <w:p>
            <w:r>
              <w:rPr>
                <w:b/>
              </w:rPr>
              <w:t>Annual Commitment</w:t>
            </w:r>
          </w:p>
        </w:tc>
        <w:tc>
          <w:tcPr>
            <w:tcW w:type="dxa" w:w="4320"/>
          </w:tcPr>
          <w:p>
            <w:r>
              <w:t>$17,100,000.00</w:t>
            </w:r>
          </w:p>
        </w:tc>
      </w:tr>
      <w:tr>
        <w:tc>
          <w:tcPr>
            <w:tcW w:type="dxa" w:w="4320"/>
          </w:tcPr>
          <w:p>
            <w:r>
              <w:rPr>
                <w:b/>
              </w:rPr>
              <w:t>Billing Frequency</w:t>
            </w:r>
          </w:p>
        </w:tc>
        <w:tc>
          <w:tcPr>
            <w:tcW w:type="dxa" w:w="4320"/>
          </w:tcPr>
          <w:p>
            <w:r>
              <w:t>Monthly, in arrears</w:t>
            </w:r>
          </w:p>
        </w:tc>
      </w:tr>
      <w:tr>
        <w:tc>
          <w:tcPr>
            <w:tcW w:type="dxa" w:w="4320"/>
          </w:tcPr>
          <w:p>
            <w:r>
              <w:rPr>
                <w:b/>
              </w:rPr>
              <w:t>Currency</w:t>
            </w:r>
          </w:p>
        </w:tc>
        <w:tc>
          <w:tcPr>
            <w:tcW w:type="dxa" w:w="4320"/>
          </w:tcPr>
          <w:p>
            <w:r>
              <w:t>USD</w:t>
            </w:r>
          </w:p>
        </w:tc>
      </w:tr>
      <w:tr>
        <w:tc>
          <w:tcPr>
            <w:tcW w:type="dxa" w:w="4320"/>
          </w:tcPr>
          <w:p>
            <w:r>
              <w:rPr>
                <w:b/>
              </w:rPr>
              <w:t>Payment Terms</w:t>
            </w:r>
          </w:p>
        </w:tc>
        <w:tc>
          <w:tcPr>
            <w:tcW w:type="dxa" w:w="4320"/>
          </w:tcPr>
          <w:p>
            <w:r>
              <w:t>Net 30 days from invoice date</w:t>
            </w:r>
          </w:p>
        </w:tc>
      </w:tr>
    </w:tbl>
    <w:p/>
    <w:p>
      <w:pPr>
        <w:pStyle w:val="Heading2"/>
        <w:spacing w:before="240" w:after="120"/>
      </w:pPr>
      <w:r>
        <w:t>2. Pricing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Period</w:t>
            </w:r>
          </w:p>
        </w:tc>
        <w:tc>
          <w:tcPr>
            <w:tcW w:type="dxa" w:w="2160"/>
          </w:tcPr>
          <w:p>
            <w:r>
              <w:rPr>
                <w:b/>
              </w:rPr>
              <w:t>Seats</w:t>
            </w:r>
          </w:p>
        </w:tc>
        <w:tc>
          <w:tcPr>
            <w:tcW w:type="dxa" w:w="2160"/>
          </w:tcPr>
          <w:p>
            <w:r>
              <w:rPr>
                <w:b/>
              </w:rPr>
              <w:t>Price/Seat/Mo</w:t>
            </w:r>
          </w:p>
        </w:tc>
        <w:tc>
          <w:tcPr>
            <w:tcW w:type="dxa" w:w="2160"/>
          </w:tcPr>
          <w:p>
            <w:r>
              <w:rPr>
                <w:b/>
              </w:rPr>
              <w:t>Monthly Total</w:t>
            </w:r>
          </w:p>
        </w:tc>
      </w:tr>
      <w:tr>
        <w:tc>
          <w:tcPr>
            <w:tcW w:type="dxa" w:w="2160"/>
          </w:tcPr>
          <w:p>
            <w:r>
              <w:t>Year 1 (2024-06-01 – 2025-05-31)</w:t>
            </w:r>
          </w:p>
        </w:tc>
        <w:tc>
          <w:tcPr>
            <w:tcW w:type="dxa" w:w="2160"/>
          </w:tcPr>
          <w:p>
            <w:r>
              <w:t>150</w:t>
            </w:r>
          </w:p>
        </w:tc>
        <w:tc>
          <w:tcPr>
            <w:tcW w:type="dxa" w:w="2160"/>
          </w:tcPr>
          <w:p>
            <w:r>
              <w:t>$9,500.00</w:t>
            </w:r>
          </w:p>
        </w:tc>
        <w:tc>
          <w:tcPr>
            <w:tcW w:type="dxa" w:w="2160"/>
          </w:tcPr>
          <w:p>
            <w:r>
              <w:t>$1,425,000.00</w:t>
            </w:r>
          </w:p>
        </w:tc>
      </w:tr>
      <w:tr>
        <w:tc>
          <w:tcPr>
            <w:tcW w:type="dxa" w:w="2160"/>
          </w:tcPr>
          <w:p>
            <w:r>
              <w:t>Year 2 (2025-06-01 – 2026-05-31)</w:t>
            </w:r>
          </w:p>
        </w:tc>
        <w:tc>
          <w:tcPr>
            <w:tcW w:type="dxa" w:w="2160"/>
          </w:tcPr>
          <w:p>
            <w:r>
              <w:t>150</w:t>
            </w:r>
          </w:p>
        </w:tc>
        <w:tc>
          <w:tcPr>
            <w:tcW w:type="dxa" w:w="2160"/>
          </w:tcPr>
          <w:p>
            <w:r>
              <w:t>$9,880.00</w:t>
            </w:r>
          </w:p>
        </w:tc>
        <w:tc>
          <w:tcPr>
            <w:tcW w:type="dxa" w:w="2160"/>
          </w:tcPr>
          <w:p>
            <w:r>
              <w:t>$1,482,000.00</w:t>
            </w:r>
          </w:p>
        </w:tc>
      </w:tr>
      <w:tr>
        <w:tc>
          <w:tcPr>
            <w:tcW w:type="dxa" w:w="2160"/>
          </w:tcPr>
          <w:p>
            <w:r>
              <w:t>Year 3 (2026-06-01 – 2027-05-31)</w:t>
            </w:r>
          </w:p>
        </w:tc>
        <w:tc>
          <w:tcPr>
            <w:tcW w:type="dxa" w:w="2160"/>
          </w:tcPr>
          <w:p>
            <w:r>
              <w:t>150</w:t>
            </w:r>
          </w:p>
        </w:tc>
        <w:tc>
          <w:tcPr>
            <w:tcW w:type="dxa" w:w="2160"/>
          </w:tcPr>
          <w:p>
            <w:r>
              <w:t>$10,275.20</w:t>
            </w:r>
          </w:p>
        </w:tc>
        <w:tc>
          <w:tcPr>
            <w:tcW w:type="dxa" w:w="2160"/>
          </w:tcPr>
          <w:p>
            <w:r>
              <w:t>$1,541,280.00</w:t>
            </w:r>
          </w:p>
        </w:tc>
      </w:tr>
      <w:tr>
        <w:tc>
          <w:tcPr>
            <w:tcW w:type="dxa" w:w="2160"/>
          </w:tcPr>
          <w:p>
            <w:r>
              <w:t>Note</w:t>
            </w:r>
          </w:p>
        </w:tc>
        <w:tc>
          <w:tcPr>
            <w:tcW w:type="dxa" w:w="6480"/>
            <w:gridSpan w:val="3"/>
          </w:tcPr>
          <w:p>
            <w:r>
              <w:t>Year 2 and Year 3 pricing reflects the 4.0% Annual Uplift per Section 5 of the Agreement.</w:t>
            </w:r>
          </w:p>
        </w:tc>
      </w:tr>
    </w:tbl>
    <w:p/>
    <w:p>
      <w:pPr>
        <w:pStyle w:val="Heading2"/>
        <w:spacing w:before="240" w:after="120"/>
      </w:pPr>
      <w:r>
        <w:t>3. Annual Price Adjustment Confirmation</w:t>
      </w:r>
    </w:p>
    <w:p>
      <w:pPr>
        <w:spacing w:after="160"/>
        <w:ind w:left="0"/>
      </w:pPr>
      <w:r>
        <w:t>The parties confirm that, pursuant to Section 5 of the Agreement, the recurring subscription fees shall increase by 4.0% on each anniversary of the Subscription Term Start Date. Supplier will provide Customer with written notice at least 30 days before each anniversary.</w:t>
      </w:r>
    </w:p>
    <w:p>
      <w:pPr>
        <w:pStyle w:val="Heading2"/>
        <w:spacing w:before="240" w:after="120"/>
      </w:pPr>
      <w:r>
        <w:t>4. Implementation and Onboarding</w:t>
      </w:r>
    </w:p>
    <w:p>
      <w:pPr>
        <w:spacing w:after="160"/>
        <w:ind w:left="0"/>
      </w:pPr>
      <w:r>
        <w:t>Supplier will provide standard onboarding services at no additional charge, including up to eight (8) hours of implementation support, configuration assistance, and user training sessions. Onboarding will be scheduled within fifteen (15) business days of the Effective Date.</w:t>
      </w:r>
    </w:p>
    <w:p>
      <w:pPr>
        <w:pStyle w:val="Heading2"/>
        <w:spacing w:before="240" w:after="120"/>
      </w:pPr>
      <w:r>
        <w:t>5. Special Terms</w:t>
      </w:r>
    </w:p>
    <w:p>
      <w:pPr>
        <w:spacing w:after="160"/>
        <w:ind w:left="0"/>
      </w:pPr>
      <w:r>
        <w:t>Customer is entitled to designate up to ten percent (10%) of licensed seats as read-only viewer seats at no additional charge. Any seats in excess of 150 will be charged at the then-current per-seat rate on a pro-rated basis.</w:t>
      </w:r>
    </w:p>
    <w:p>
      <w:r>
        <w:br w:type="page"/>
      </w:r>
    </w:p>
    <w:p>
      <w:pPr>
        <w:spacing w:after="160"/>
        <w:ind w:left="0"/>
      </w:pPr>
      <w:r>
        <w:t>This Order Form is hereby agreed and accepted by the authorized representatives of each party.</w:t>
      </w:r>
    </w:p>
    <w:p>
      <w:pPr>
        <w:spacing w:after="160"/>
        <w:ind w:left="0"/>
      </w:pPr>
      <w:r/>
    </w:p>
    <w:p/>
    <w:p>
      <w:pPr>
        <w:spacing w:after="160"/>
        <w:ind w:left="0"/>
      </w:pPr>
      <w:r>
        <w:t>CONGA SOFTWARE, INC.</w:t>
      </w:r>
    </w:p>
    <w:p>
      <w:pPr>
        <w:spacing w:after="160"/>
        <w:ind w:left="0"/>
      </w:pPr>
      <w:r>
        <w:t>By: /s/ Sarah Mitchell</w:t>
      </w:r>
    </w:p>
    <w:p>
      <w:pPr>
        <w:spacing w:after="160"/>
        <w:ind w:left="0"/>
      </w:pPr>
      <w:r>
        <w:t>Name: Sarah Mitchell</w:t>
      </w:r>
    </w:p>
    <w:p>
      <w:pPr>
        <w:spacing w:after="160"/>
        <w:ind w:left="0"/>
      </w:pPr>
      <w:r>
        <w:t>Title: VP, Commercial Operations</w:t>
      </w:r>
    </w:p>
    <w:p>
      <w:pPr>
        <w:spacing w:after="160"/>
        <w:ind w:left="0"/>
      </w:pPr>
      <w:r>
        <w:t>Date: May 30, 2024</w:t>
      </w:r>
    </w:p>
    <w:p>
      <w:pPr>
        <w:spacing w:after="160"/>
        <w:ind w:left="0"/>
      </w:pPr>
      <w:r/>
    </w:p>
    <w:p/>
    <w:p>
      <w:pPr>
        <w:spacing w:after="160"/>
        <w:ind w:left="0"/>
      </w:pPr>
      <w:r>
        <w:t>HORIZON RETAIL</w:t>
      </w:r>
    </w:p>
    <w:p>
      <w:pPr>
        <w:spacing w:after="160"/>
        <w:ind w:left="0"/>
      </w:pPr>
      <w:r>
        <w:t>By: /s/ David Chen</w:t>
      </w:r>
    </w:p>
    <w:p>
      <w:pPr>
        <w:spacing w:after="160"/>
        <w:ind w:left="0"/>
      </w:pPr>
      <w:r>
        <w:t>Name: David Chen</w:t>
      </w:r>
    </w:p>
    <w:p>
      <w:pPr>
        <w:spacing w:after="160"/>
        <w:ind w:left="0"/>
      </w:pPr>
      <w:r>
        <w:t>Title: Chief Financial Officer</w:t>
      </w:r>
    </w:p>
    <w:p>
      <w:pPr>
        <w:spacing w:after="160"/>
        <w:ind w:left="0"/>
      </w:pPr>
      <w:r>
        <w:t>Date: May 31,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