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6EA5" w:rsidRPr="00C34CB0" w:rsidRDefault="008D6EA5" w:rsidP="008D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color w:val="000000"/>
          <w:sz w:val="28"/>
          <w:szCs w:val="28"/>
        </w:rPr>
      </w:pPr>
      <w:r w:rsidRPr="00C34CB0">
        <w:rPr>
          <w:rFonts w:ascii="Times New Roman" w:hAnsi="Times New Roman" w:cs="Times New Roman"/>
          <w:b/>
          <w:bCs/>
          <w:color w:val="000000"/>
          <w:sz w:val="28"/>
          <w:szCs w:val="28"/>
        </w:rPr>
        <w:t>COIMBATORE INSTITUTE OF TECHNOLOGY</w:t>
      </w:r>
    </w:p>
    <w:p w:rsidR="008D6EA5" w:rsidRPr="00C34CB0" w:rsidRDefault="008D6EA5" w:rsidP="008D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color w:val="000000"/>
          <w:sz w:val="28"/>
          <w:szCs w:val="28"/>
        </w:rPr>
      </w:pPr>
      <w:r w:rsidRPr="00C34CB0">
        <w:rPr>
          <w:rFonts w:ascii="Times New Roman" w:hAnsi="Times New Roman" w:cs="Times New Roman"/>
          <w:b/>
          <w:bCs/>
          <w:color w:val="000000"/>
          <w:sz w:val="28"/>
          <w:szCs w:val="28"/>
        </w:rPr>
        <w:t>(Government Aided Autonomous Institution Affiliated to Anna University)</w:t>
      </w:r>
    </w:p>
    <w:p w:rsidR="008D6EA5" w:rsidRPr="00C34CB0" w:rsidRDefault="008D6EA5" w:rsidP="008D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color w:val="000000"/>
          <w:sz w:val="28"/>
          <w:szCs w:val="28"/>
        </w:rPr>
      </w:pPr>
      <w:r w:rsidRPr="00C34CB0">
        <w:rPr>
          <w:rFonts w:ascii="Times New Roman" w:hAnsi="Times New Roman" w:cs="Times New Roman"/>
          <w:b/>
          <w:bCs/>
          <w:color w:val="000000"/>
          <w:sz w:val="28"/>
          <w:szCs w:val="28"/>
        </w:rPr>
        <w:t>Coimbatore – 641 014</w:t>
      </w:r>
    </w:p>
    <w:p w:rsidR="008D6EA5" w:rsidRPr="00C34CB0" w:rsidRDefault="008D6EA5" w:rsidP="008D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color w:val="000000"/>
          <w:sz w:val="28"/>
          <w:szCs w:val="28"/>
        </w:rPr>
      </w:pPr>
    </w:p>
    <w:p w:rsidR="008D6EA5" w:rsidRPr="00C34CB0" w:rsidRDefault="008D6EA5" w:rsidP="008D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color w:val="000000"/>
          <w:sz w:val="28"/>
          <w:szCs w:val="28"/>
        </w:rPr>
      </w:pPr>
    </w:p>
    <w:p w:rsidR="008D6EA5" w:rsidRPr="00C34CB0" w:rsidRDefault="008D6EA5" w:rsidP="008D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b/>
          <w:bCs/>
          <w:color w:val="000000"/>
          <w:sz w:val="28"/>
          <w:szCs w:val="28"/>
        </w:rPr>
      </w:pPr>
    </w:p>
    <w:p w:rsidR="008D6EA5" w:rsidRPr="00C34CB0" w:rsidRDefault="008D6EA5" w:rsidP="008D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BUSINESS ANALYTICS ASSIGNMENT 3 REPORT</w:t>
      </w:r>
    </w:p>
    <w:p w:rsidR="008D6EA5" w:rsidRPr="00C34CB0" w:rsidRDefault="008D6EA5" w:rsidP="008D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color w:val="000000"/>
          <w:sz w:val="28"/>
          <w:szCs w:val="28"/>
        </w:rPr>
      </w:pPr>
    </w:p>
    <w:p w:rsidR="008D6EA5" w:rsidRPr="00C34CB0" w:rsidRDefault="008D6EA5" w:rsidP="008D6EA5">
      <w:pPr>
        <w:spacing w:line="360" w:lineRule="auto"/>
        <w:jc w:val="center"/>
        <w:rPr>
          <w:rFonts w:ascii="Times New Roman" w:eastAsia="Times New Roman" w:hAnsi="Times New Roman" w:cs="Times New Roman"/>
          <w:sz w:val="28"/>
          <w:szCs w:val="28"/>
        </w:rPr>
      </w:pPr>
      <w:r w:rsidRPr="00C34CB0">
        <w:rPr>
          <w:rFonts w:ascii="Times New Roman" w:eastAsia="Times New Roman" w:hAnsi="Times New Roman" w:cs="Times New Roman"/>
          <w:sz w:val="28"/>
          <w:szCs w:val="28"/>
        </w:rPr>
        <w:fldChar w:fldCharType="begin"/>
      </w:r>
      <w:r w:rsidRPr="00C34CB0">
        <w:rPr>
          <w:rFonts w:ascii="Times New Roman" w:eastAsia="Times New Roman" w:hAnsi="Times New Roman" w:cs="Times New Roman"/>
          <w:sz w:val="28"/>
          <w:szCs w:val="28"/>
        </w:rPr>
        <w:instrText xml:space="preserve"> INCLUDEPICTURE "https://upload.wikimedia.org/wikipedia/en/1/17/Coimbatore_Institute_of_Technology_logo.png" \* MERGEFORMATINET </w:instrText>
      </w:r>
      <w:r w:rsidRPr="00C34CB0">
        <w:rPr>
          <w:rFonts w:ascii="Times New Roman" w:eastAsia="Times New Roman" w:hAnsi="Times New Roman" w:cs="Times New Roman"/>
          <w:sz w:val="28"/>
          <w:szCs w:val="28"/>
        </w:rPr>
        <w:fldChar w:fldCharType="separate"/>
      </w:r>
      <w:r w:rsidRPr="00C34CB0">
        <w:rPr>
          <w:rFonts w:ascii="Times New Roman" w:eastAsia="Times New Roman" w:hAnsi="Times New Roman" w:cs="Times New Roman"/>
          <w:noProof/>
          <w:sz w:val="28"/>
          <w:szCs w:val="28"/>
        </w:rPr>
        <w:drawing>
          <wp:inline distT="0" distB="0" distL="0" distR="0" wp14:anchorId="0B5BB8EC" wp14:editId="58D1DB1F">
            <wp:extent cx="1711276" cy="1727862"/>
            <wp:effectExtent l="0" t="0" r="3810" b="0"/>
            <wp:docPr id="3" name="Picture 3" descr="Coimbatore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imbatore Institute of Technology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1791" cy="1738479"/>
                    </a:xfrm>
                    <a:prstGeom prst="rect">
                      <a:avLst/>
                    </a:prstGeom>
                    <a:noFill/>
                    <a:ln>
                      <a:noFill/>
                    </a:ln>
                  </pic:spPr>
                </pic:pic>
              </a:graphicData>
            </a:graphic>
          </wp:inline>
        </w:drawing>
      </w:r>
      <w:r w:rsidRPr="00C34CB0">
        <w:rPr>
          <w:rFonts w:ascii="Times New Roman" w:eastAsia="Times New Roman" w:hAnsi="Times New Roman" w:cs="Times New Roman"/>
          <w:sz w:val="28"/>
          <w:szCs w:val="28"/>
        </w:rPr>
        <w:fldChar w:fldCharType="end"/>
      </w:r>
    </w:p>
    <w:p w:rsidR="008D6EA5" w:rsidRPr="00C34CB0" w:rsidRDefault="008D6EA5" w:rsidP="008D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color w:val="000000"/>
          <w:sz w:val="28"/>
          <w:szCs w:val="28"/>
        </w:rPr>
      </w:pPr>
    </w:p>
    <w:p w:rsidR="008D6EA5" w:rsidRPr="00C34CB0" w:rsidRDefault="008D6EA5" w:rsidP="008D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b/>
          <w:bCs/>
          <w:color w:val="000000"/>
          <w:sz w:val="28"/>
          <w:szCs w:val="28"/>
        </w:rPr>
      </w:pPr>
    </w:p>
    <w:p w:rsidR="008D6EA5" w:rsidRPr="00C34CB0" w:rsidRDefault="008D6EA5" w:rsidP="008D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b/>
          <w:bCs/>
          <w:color w:val="000000"/>
          <w:sz w:val="28"/>
          <w:szCs w:val="28"/>
        </w:rPr>
      </w:pPr>
    </w:p>
    <w:p w:rsidR="008D6EA5" w:rsidRPr="00C34CB0" w:rsidRDefault="008D6EA5" w:rsidP="008D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b/>
          <w:bCs/>
          <w:color w:val="000000"/>
          <w:sz w:val="28"/>
          <w:szCs w:val="28"/>
        </w:rPr>
      </w:pPr>
    </w:p>
    <w:p w:rsidR="008D6EA5" w:rsidRPr="00C34CB0" w:rsidRDefault="008D6EA5" w:rsidP="008D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b/>
          <w:bCs/>
          <w:color w:val="000000"/>
          <w:sz w:val="28"/>
          <w:szCs w:val="28"/>
        </w:rPr>
      </w:pPr>
    </w:p>
    <w:p w:rsidR="008D6EA5" w:rsidRDefault="008D6EA5" w:rsidP="008D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NAME: MITHRAJIT KATHIR.S</w:t>
      </w:r>
    </w:p>
    <w:p w:rsidR="008D6EA5" w:rsidRDefault="008D6EA5" w:rsidP="008D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ROLL NO: 71762208030</w:t>
      </w:r>
    </w:p>
    <w:p w:rsidR="008D6EA5" w:rsidRDefault="008D6EA5" w:rsidP="008D6EA5">
      <w:pPr>
        <w:spacing w:before="480" w:after="120"/>
        <w:jc w:val="center"/>
        <w:rPr>
          <w:rFonts w:ascii="Times New Roman" w:hAnsi="Times New Roman" w:cs="Times New Roman"/>
          <w:b/>
          <w:bCs/>
          <w:color w:val="000000" w:themeColor="text1"/>
          <w:sz w:val="44"/>
          <w:szCs w:val="44"/>
        </w:rPr>
      </w:pPr>
      <w:r>
        <w:rPr>
          <w:rFonts w:ascii="Times New Roman" w:hAnsi="Times New Roman" w:cs="Times New Roman"/>
          <w:b/>
          <w:bCs/>
          <w:color w:val="000000"/>
          <w:sz w:val="28"/>
          <w:szCs w:val="28"/>
        </w:rPr>
        <w:t>ARTIFICIAL INTELLIGENCE AND DATA SCIENCE</w:t>
      </w:r>
    </w:p>
    <w:p w:rsidR="00321E88" w:rsidRPr="008D6EA5" w:rsidRDefault="008D6EA5" w:rsidP="008D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br w:type="page"/>
      </w:r>
      <w:r>
        <w:rPr>
          <w:rFonts w:ascii="Times New Roman" w:hAnsi="Times New Roman" w:cs="Times New Roman"/>
          <w:b/>
          <w:bCs/>
          <w:color w:val="000000" w:themeColor="text1"/>
          <w:sz w:val="44"/>
          <w:szCs w:val="44"/>
        </w:rPr>
        <w:lastRenderedPageBreak/>
        <w:t xml:space="preserve"> </w:t>
      </w:r>
      <w:bookmarkStart w:id="0" w:name="_GoBack"/>
      <w:bookmarkEnd w:id="0"/>
      <w:r w:rsidR="00D01D65" w:rsidRPr="008D6EA5">
        <w:rPr>
          <w:rFonts w:ascii="Times New Roman" w:hAnsi="Times New Roman" w:cs="Times New Roman"/>
          <w:b/>
          <w:bCs/>
          <w:color w:val="000000" w:themeColor="text1"/>
          <w:sz w:val="44"/>
          <w:szCs w:val="44"/>
        </w:rPr>
        <w:t>Electricity Demand For</w:t>
      </w:r>
      <w:r w:rsidR="00D01D65" w:rsidRPr="008D6EA5">
        <w:rPr>
          <w:rFonts w:ascii="Times New Roman" w:hAnsi="Times New Roman" w:cs="Times New Roman"/>
          <w:b/>
          <w:bCs/>
          <w:color w:val="000000" w:themeColor="text1"/>
          <w:sz w:val="44"/>
          <w:szCs w:val="44"/>
        </w:rPr>
        <w:t>ecasting</w:t>
      </w:r>
    </w:p>
    <w:p w:rsidR="00321E88" w:rsidRPr="008D6EA5" w:rsidRDefault="00D01D65">
      <w:pPr>
        <w:pStyle w:val="Heading1"/>
        <w:rPr>
          <w:rFonts w:ascii="Times New Roman" w:hAnsi="Times New Roman" w:cs="Times New Roman"/>
          <w:color w:val="000000" w:themeColor="text1"/>
        </w:rPr>
      </w:pPr>
      <w:r w:rsidRPr="008D6EA5">
        <w:rPr>
          <w:rFonts w:ascii="Times New Roman" w:hAnsi="Times New Roman" w:cs="Times New Roman"/>
          <w:color w:val="000000" w:themeColor="text1"/>
        </w:rPr>
        <w:t>1. Introduction</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Electricity demand forecasting is a fundamental problem in energy systems management. Accurate forecasts allow grid operators to balance supply with demand, schedule generation assets efficiently, and prevent costly imbalances. Even small forecasting error</w:t>
      </w:r>
      <w:r w:rsidRPr="008D6EA5">
        <w:rPr>
          <w:rFonts w:ascii="Times New Roman" w:hAnsi="Times New Roman" w:cs="Times New Roman"/>
          <w:color w:val="000000" w:themeColor="text1"/>
        </w:rPr>
        <w:t>s can result in significant financial penalties or supply shortfalls.</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This project applies time series analysis techniques to historical electricity data from Spain, sourced from Red Electrica de Espana (REE), the national transmission system operator. The</w:t>
      </w:r>
      <w:r w:rsidRPr="008D6EA5">
        <w:rPr>
          <w:rFonts w:ascii="Times New Roman" w:hAnsi="Times New Roman" w:cs="Times New Roman"/>
          <w:color w:val="000000" w:themeColor="text1"/>
        </w:rPr>
        <w:t xml:space="preserve"> dataset covers daily observations across multiple energy series from January 2014 to December 2018, including actual (real) demand, scheduled demand, SPOT market prices for Spain, France, and Portugal, and generation volumes by source (wind, nuclear, sola</w:t>
      </w:r>
      <w:r w:rsidRPr="008D6EA5">
        <w:rPr>
          <w:rFonts w:ascii="Times New Roman" w:hAnsi="Times New Roman" w:cs="Times New Roman"/>
          <w:color w:val="000000" w:themeColor="text1"/>
        </w:rPr>
        <w:t>r photovoltaic, hydro, gas).</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 xml:space="preserve">The primary series of interest for this assignment is Real Demand (GWh) — the actual electricity consumed by the Spanish grid on a given day. This was chosen because it directly represents consumption </w:t>
      </w:r>
      <w:r w:rsidR="008D6EA5" w:rsidRPr="008D6EA5">
        <w:rPr>
          <w:rFonts w:ascii="Times New Roman" w:hAnsi="Times New Roman" w:cs="Times New Roman"/>
          <w:color w:val="000000" w:themeColor="text1"/>
        </w:rPr>
        <w:t>behavior</w:t>
      </w:r>
      <w:r w:rsidRPr="008D6EA5">
        <w:rPr>
          <w:rFonts w:ascii="Times New Roman" w:hAnsi="Times New Roman" w:cs="Times New Roman"/>
          <w:color w:val="000000" w:themeColor="text1"/>
        </w:rPr>
        <w:t xml:space="preserve"> and contains the</w:t>
      </w:r>
      <w:r w:rsidRPr="008D6EA5">
        <w:rPr>
          <w:rFonts w:ascii="Times New Roman" w:hAnsi="Times New Roman" w:cs="Times New Roman"/>
          <w:color w:val="000000" w:themeColor="text1"/>
        </w:rPr>
        <w:t xml:space="preserve"> clearest seasonal and trend signals.</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The project addresses four tasks: (1) time series decomposition into trend, seasonal, and residual components; (2) identification of stationarity and seasonality using formal statistical tests; (3) selection and traini</w:t>
      </w:r>
      <w:r w:rsidRPr="008D6EA5">
        <w:rPr>
          <w:rFonts w:ascii="Times New Roman" w:hAnsi="Times New Roman" w:cs="Times New Roman"/>
          <w:color w:val="000000" w:themeColor="text1"/>
        </w:rPr>
        <w:t>ng of appropriate forecasting models; and (4) evaluation of model performance and a discussion of limitations.</w:t>
      </w:r>
    </w:p>
    <w:p w:rsidR="00321E88" w:rsidRPr="008D6EA5" w:rsidRDefault="00D01D65">
      <w:pPr>
        <w:pStyle w:val="Heading1"/>
        <w:rPr>
          <w:rFonts w:ascii="Times New Roman" w:hAnsi="Times New Roman" w:cs="Times New Roman"/>
          <w:color w:val="000000" w:themeColor="text1"/>
        </w:rPr>
      </w:pPr>
      <w:r w:rsidRPr="008D6EA5">
        <w:rPr>
          <w:rFonts w:ascii="Times New Roman" w:hAnsi="Times New Roman" w:cs="Times New Roman"/>
          <w:color w:val="000000" w:themeColor="text1"/>
        </w:rPr>
        <w:t>2. Dataset Overview</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The raw dataset contains 40,212 records spanning 21 distinct series, each identified by a numeric ID. The datetime column rec</w:t>
      </w:r>
      <w:r w:rsidRPr="008D6EA5">
        <w:rPr>
          <w:rFonts w:ascii="Times New Roman" w:hAnsi="Times New Roman" w:cs="Times New Roman"/>
          <w:color w:val="000000" w:themeColor="text1"/>
        </w:rPr>
        <w:t>ords the observation timestamp (end-of-day), and the value column holds the daily metric.</w:t>
      </w:r>
    </w:p>
    <w:p w:rsidR="00321E88" w:rsidRPr="008D6EA5" w:rsidRDefault="00321E88">
      <w:pPr>
        <w:rPr>
          <w:rFonts w:ascii="Times New Roman" w:hAnsi="Times New Roman" w:cs="Times New Roman"/>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000"/>
        <w:gridCol w:w="1200"/>
        <w:gridCol w:w="3826"/>
      </w:tblGrid>
      <w:tr w:rsidR="008D6EA5" w:rsidRPr="008D6E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b/>
                <w:bCs/>
                <w:color w:val="000000" w:themeColor="text1"/>
                <w:sz w:val="20"/>
                <w:szCs w:val="20"/>
              </w:rPr>
              <w:t>Series</w:t>
            </w:r>
          </w:p>
        </w:tc>
        <w:tc>
          <w:tcPr>
            <w:tcW w:w="1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b/>
                <w:bCs/>
                <w:color w:val="000000" w:themeColor="text1"/>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b/>
                <w:bCs/>
                <w:color w:val="000000" w:themeColor="text1"/>
                <w:sz w:val="20"/>
                <w:szCs w:val="20"/>
              </w:rPr>
              <w:t>Unit</w:t>
            </w:r>
          </w:p>
        </w:tc>
        <w:tc>
          <w:tcPr>
            <w:tcW w:w="3826"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b/>
                <w:bCs/>
                <w:color w:val="000000" w:themeColor="text1"/>
                <w:sz w:val="20"/>
                <w:szCs w:val="20"/>
              </w:rPr>
              <w:t>Description</w:t>
            </w:r>
          </w:p>
        </w:tc>
      </w:tr>
      <w:tr w:rsidR="008D6EA5" w:rsidRPr="008D6E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Real demand</w:t>
            </w:r>
          </w:p>
        </w:tc>
        <w:tc>
          <w:tcPr>
            <w:tcW w:w="1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10258</w:t>
            </w:r>
          </w:p>
        </w:tc>
        <w:tc>
          <w:tcPr>
            <w:tcW w:w="12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GWh</w:t>
            </w:r>
          </w:p>
        </w:tc>
        <w:tc>
          <w:tcPr>
            <w:tcW w:w="3826"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Actual electricity consumed (primary series)</w:t>
            </w:r>
          </w:p>
        </w:tc>
      </w:tr>
      <w:tr w:rsidR="008D6EA5" w:rsidRPr="008D6E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Scheduled demand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10073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GWh</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Day-ahead programmed demand</w:t>
            </w:r>
          </w:p>
        </w:tc>
      </w:tr>
      <w:tr w:rsidR="008D6EA5" w:rsidRPr="008D6E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SPOT price — Spain</w:t>
            </w:r>
          </w:p>
        </w:tc>
        <w:tc>
          <w:tcPr>
            <w:tcW w:w="1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600</w:t>
            </w:r>
          </w:p>
        </w:tc>
        <w:tc>
          <w:tcPr>
            <w:tcW w:w="12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€/MWh</w:t>
            </w:r>
          </w:p>
        </w:tc>
        <w:tc>
          <w:tcPr>
            <w:tcW w:w="3826"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Daily market clearing price</w:t>
            </w:r>
          </w:p>
        </w:tc>
      </w:tr>
      <w:tr w:rsidR="008D6EA5" w:rsidRPr="008D6E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SPOT price — France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602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€/MWh</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French day-ahead price</w:t>
            </w:r>
          </w:p>
        </w:tc>
      </w:tr>
      <w:tr w:rsidR="008D6EA5" w:rsidRPr="008D6E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Wind generation</w:t>
            </w:r>
          </w:p>
        </w:tc>
        <w:tc>
          <w:tcPr>
            <w:tcW w:w="1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10167</w:t>
            </w:r>
          </w:p>
        </w:tc>
        <w:tc>
          <w:tcPr>
            <w:tcW w:w="12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GWh</w:t>
            </w:r>
          </w:p>
        </w:tc>
        <w:tc>
          <w:tcPr>
            <w:tcW w:w="3826"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Scheduled wind power output</w:t>
            </w:r>
          </w:p>
        </w:tc>
      </w:tr>
      <w:tr w:rsidR="008D6EA5" w:rsidRPr="008D6E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Nuclear generation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10064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GWh</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Scheduled nuclear output</w:t>
            </w:r>
          </w:p>
        </w:tc>
      </w:tr>
      <w:tr w:rsidR="008D6EA5" w:rsidRPr="008D6E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Solar PV generation</w:t>
            </w:r>
          </w:p>
        </w:tc>
        <w:tc>
          <w:tcPr>
            <w:tcW w:w="1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GWh</w:t>
            </w:r>
          </w:p>
        </w:tc>
        <w:tc>
          <w:tcPr>
            <w:tcW w:w="3826"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Scheduled photovoltaic output</w:t>
            </w:r>
          </w:p>
        </w:tc>
      </w:tr>
    </w:tbl>
    <w:p w:rsidR="00321E88" w:rsidRPr="008D6EA5" w:rsidRDefault="00321E88">
      <w:pPr>
        <w:rPr>
          <w:rFonts w:ascii="Times New Roman" w:hAnsi="Times New Roman" w:cs="Times New Roman"/>
          <w:color w:val="000000" w:themeColor="text1"/>
        </w:rPr>
      </w:pP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lastRenderedPageBreak/>
        <w:t xml:space="preserve">After filtering to the Real Demand series and resampling to daily frequency, the working dataset contains 1,826 observations with no missing values. The data was pre-processed by sorting chronologically and applying linear interpolation for any gaps prior </w:t>
      </w:r>
      <w:r w:rsidRPr="008D6EA5">
        <w:rPr>
          <w:rFonts w:ascii="Times New Roman" w:hAnsi="Times New Roman" w:cs="Times New Roman"/>
          <w:color w:val="000000" w:themeColor="text1"/>
        </w:rPr>
        <w:t>to modelling.</w:t>
      </w:r>
    </w:p>
    <w:p w:rsidR="00321E88" w:rsidRPr="008D6EA5" w:rsidRDefault="00D01D65">
      <w:pPr>
        <w:pStyle w:val="Heading1"/>
        <w:rPr>
          <w:rFonts w:ascii="Times New Roman" w:hAnsi="Times New Roman" w:cs="Times New Roman"/>
          <w:color w:val="000000" w:themeColor="text1"/>
        </w:rPr>
      </w:pPr>
      <w:r w:rsidRPr="008D6EA5">
        <w:rPr>
          <w:rFonts w:ascii="Times New Roman" w:hAnsi="Times New Roman" w:cs="Times New Roman"/>
          <w:color w:val="000000" w:themeColor="text1"/>
        </w:rPr>
        <w:t>3. Task 1 — Time Series Decomposition</w:t>
      </w:r>
    </w:p>
    <w:p w:rsidR="00321E88" w:rsidRPr="008D6EA5" w:rsidRDefault="00D01D65">
      <w:pPr>
        <w:pStyle w:val="Heading2"/>
        <w:rPr>
          <w:rFonts w:ascii="Times New Roman" w:hAnsi="Times New Roman" w:cs="Times New Roman"/>
          <w:color w:val="000000" w:themeColor="text1"/>
        </w:rPr>
      </w:pPr>
      <w:r w:rsidRPr="008D6EA5">
        <w:rPr>
          <w:rFonts w:ascii="Times New Roman" w:hAnsi="Times New Roman" w:cs="Times New Roman"/>
          <w:color w:val="000000" w:themeColor="text1"/>
        </w:rPr>
        <w:t>3.1 Methodology</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Classical time series decomposition partitions an observed series into three additive (or multiplicative) components:</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Trend (T): the long-run direction of the series, abstracting away seas</w:t>
      </w:r>
      <w:r w:rsidRPr="008D6EA5">
        <w:rPr>
          <w:rFonts w:ascii="Times New Roman" w:hAnsi="Times New Roman" w:cs="Times New Roman"/>
          <w:color w:val="000000" w:themeColor="text1"/>
        </w:rPr>
        <w:t>onal and irregular fluctuations.</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Seasonal (S): systematic, calendar-driven variation that repeats at a fixed period.</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Residual / Irregular (R): the remaining unexplained variation after trend and seasonality are removed.</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 xml:space="preserve">The additive model is expressed as: </w:t>
      </w:r>
      <w:r w:rsidRPr="008D6EA5">
        <w:rPr>
          <w:rFonts w:ascii="Times New Roman" w:hAnsi="Times New Roman" w:cs="Times New Roman"/>
          <w:color w:val="000000" w:themeColor="text1"/>
        </w:rPr>
        <w:t>Observed = Trend + Seasonal + Residual. This formulation is appropriate when the amplitude of the seasonal swings remains roughly constant regardless of the level of the series — which is the case for Spanish electricity demand, where winter and summer pea</w:t>
      </w:r>
      <w:r w:rsidRPr="008D6EA5">
        <w:rPr>
          <w:rFonts w:ascii="Times New Roman" w:hAnsi="Times New Roman" w:cs="Times New Roman"/>
          <w:color w:val="000000" w:themeColor="text1"/>
        </w:rPr>
        <w:t>ks are of similar absolute magnitude across all years.</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 xml:space="preserve">Decomposition was performed using the statsmodels seasonal_decompose function with an annual period of 365 days, using a </w:t>
      </w:r>
      <w:r w:rsidR="008D6EA5" w:rsidRPr="008D6EA5">
        <w:rPr>
          <w:rFonts w:ascii="Times New Roman" w:hAnsi="Times New Roman" w:cs="Times New Roman"/>
          <w:color w:val="000000" w:themeColor="text1"/>
        </w:rPr>
        <w:t>centered</w:t>
      </w:r>
      <w:r w:rsidRPr="008D6EA5">
        <w:rPr>
          <w:rFonts w:ascii="Times New Roman" w:hAnsi="Times New Roman" w:cs="Times New Roman"/>
          <w:color w:val="000000" w:themeColor="text1"/>
        </w:rPr>
        <w:t xml:space="preserve"> moving average to extract the trend component.</w:t>
      </w:r>
    </w:p>
    <w:p w:rsidR="00321E88" w:rsidRPr="008D6EA5" w:rsidRDefault="00D01D65">
      <w:pPr>
        <w:pStyle w:val="Heading2"/>
        <w:rPr>
          <w:rFonts w:ascii="Times New Roman" w:hAnsi="Times New Roman" w:cs="Times New Roman"/>
          <w:color w:val="000000" w:themeColor="text1"/>
        </w:rPr>
      </w:pPr>
      <w:r w:rsidRPr="008D6EA5">
        <w:rPr>
          <w:rFonts w:ascii="Times New Roman" w:hAnsi="Times New Roman" w:cs="Times New Roman"/>
          <w:color w:val="000000" w:themeColor="text1"/>
        </w:rPr>
        <w:t>3.2 Findings</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 xml:space="preserve">Trend: The trend component reveals that Spanish real electricity demand was broadly stable between 2014 and 2018, oscillating around 650–700 GWh per day with no significant growth or decline. This is consistent with the maturity of the Spanish economy and </w:t>
      </w:r>
      <w:r w:rsidRPr="008D6EA5">
        <w:rPr>
          <w:rFonts w:ascii="Times New Roman" w:hAnsi="Times New Roman" w:cs="Times New Roman"/>
          <w:color w:val="000000" w:themeColor="text1"/>
        </w:rPr>
        <w:t>efficiency improvements offsetting population-driven demand growth.</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Seasonality: The seasonal component shows a clear and consistent double-peak structure. Demand is highest in winter (December–February) due to space heating loads and shorter daylight hour</w:t>
      </w:r>
      <w:r w:rsidRPr="008D6EA5">
        <w:rPr>
          <w:rFonts w:ascii="Times New Roman" w:hAnsi="Times New Roman" w:cs="Times New Roman"/>
          <w:color w:val="000000" w:themeColor="text1"/>
        </w:rPr>
        <w:t>s, reaches a secondary peak in summer (July–August) from air conditioning, and dips in spring and autumn when mild weather reduces energy needs. The amplitude of the seasonal swing is approximately ±100–150 GWh relative to the trend.</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Residuals: The residua</w:t>
      </w:r>
      <w:r w:rsidRPr="008D6EA5">
        <w:rPr>
          <w:rFonts w:ascii="Times New Roman" w:hAnsi="Times New Roman" w:cs="Times New Roman"/>
          <w:color w:val="000000" w:themeColor="text1"/>
        </w:rPr>
        <w:t xml:space="preserve">l component is </w:t>
      </w:r>
      <w:r w:rsidR="008D6EA5" w:rsidRPr="008D6EA5">
        <w:rPr>
          <w:rFonts w:ascii="Times New Roman" w:hAnsi="Times New Roman" w:cs="Times New Roman"/>
          <w:color w:val="000000" w:themeColor="text1"/>
        </w:rPr>
        <w:t>centered</w:t>
      </w:r>
      <w:r w:rsidRPr="008D6EA5">
        <w:rPr>
          <w:rFonts w:ascii="Times New Roman" w:hAnsi="Times New Roman" w:cs="Times New Roman"/>
          <w:color w:val="000000" w:themeColor="text1"/>
        </w:rPr>
        <w:t xml:space="preserve"> near zero and displays no obvious structure, confirming that the decomposition has successfully captured the dominant patterns. Isolated spikes in the residuals correspond to public holidays, heatwaves, and industrial shutdowns that </w:t>
      </w:r>
      <w:r w:rsidRPr="008D6EA5">
        <w:rPr>
          <w:rFonts w:ascii="Times New Roman" w:hAnsi="Times New Roman" w:cs="Times New Roman"/>
          <w:color w:val="000000" w:themeColor="text1"/>
        </w:rPr>
        <w:t>are not captured by the smooth seasonal model.</w:t>
      </w:r>
    </w:p>
    <w:p w:rsidR="00321E88" w:rsidRPr="008D6EA5" w:rsidRDefault="00D01D65">
      <w:pPr>
        <w:pStyle w:val="Heading1"/>
        <w:rPr>
          <w:rFonts w:ascii="Times New Roman" w:hAnsi="Times New Roman" w:cs="Times New Roman"/>
          <w:color w:val="000000" w:themeColor="text1"/>
        </w:rPr>
      </w:pPr>
      <w:r w:rsidRPr="008D6EA5">
        <w:rPr>
          <w:rFonts w:ascii="Times New Roman" w:hAnsi="Times New Roman" w:cs="Times New Roman"/>
          <w:color w:val="000000" w:themeColor="text1"/>
        </w:rPr>
        <w:t>4. Task 2 — Stationarity and Seasonality Analysis</w:t>
      </w:r>
    </w:p>
    <w:p w:rsidR="00321E88" w:rsidRPr="008D6EA5" w:rsidRDefault="00D01D65">
      <w:pPr>
        <w:pStyle w:val="Heading2"/>
        <w:rPr>
          <w:rFonts w:ascii="Times New Roman" w:hAnsi="Times New Roman" w:cs="Times New Roman"/>
          <w:color w:val="000000" w:themeColor="text1"/>
        </w:rPr>
      </w:pPr>
      <w:r w:rsidRPr="008D6EA5">
        <w:rPr>
          <w:rFonts w:ascii="Times New Roman" w:hAnsi="Times New Roman" w:cs="Times New Roman"/>
          <w:color w:val="000000" w:themeColor="text1"/>
        </w:rPr>
        <w:t>4.1 What Is Stationarity and Why It Matters</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lastRenderedPageBreak/>
        <w:t>A time series is considered stationary when its statistical properties — mean, variance, and autocorrelation struct</w:t>
      </w:r>
      <w:r w:rsidRPr="008D6EA5">
        <w:rPr>
          <w:rFonts w:ascii="Times New Roman" w:hAnsi="Times New Roman" w:cs="Times New Roman"/>
          <w:color w:val="000000" w:themeColor="text1"/>
        </w:rPr>
        <w:t xml:space="preserve">ure — do not change over time. Stationarity is a prerequisite for most classical forecasting models (ARIMA, exponential smoothing) because they rely on past patterns being representative of future </w:t>
      </w:r>
      <w:r w:rsidR="008D6EA5" w:rsidRPr="008D6EA5">
        <w:rPr>
          <w:rFonts w:ascii="Times New Roman" w:hAnsi="Times New Roman" w:cs="Times New Roman"/>
          <w:color w:val="000000" w:themeColor="text1"/>
        </w:rPr>
        <w:t>behavior</w:t>
      </w:r>
      <w:r w:rsidRPr="008D6EA5">
        <w:rPr>
          <w:rFonts w:ascii="Times New Roman" w:hAnsi="Times New Roman" w:cs="Times New Roman"/>
          <w:color w:val="000000" w:themeColor="text1"/>
        </w:rPr>
        <w:t>. Non-stationary series with drifting means or var</w:t>
      </w:r>
      <w:r w:rsidRPr="008D6EA5">
        <w:rPr>
          <w:rFonts w:ascii="Times New Roman" w:hAnsi="Times New Roman" w:cs="Times New Roman"/>
          <w:color w:val="000000" w:themeColor="text1"/>
        </w:rPr>
        <w:t>iances produce unreliable parameter estimates.</w:t>
      </w:r>
    </w:p>
    <w:p w:rsidR="00321E88" w:rsidRPr="008D6EA5" w:rsidRDefault="00D01D65">
      <w:pPr>
        <w:pStyle w:val="Heading2"/>
        <w:rPr>
          <w:rFonts w:ascii="Times New Roman" w:hAnsi="Times New Roman" w:cs="Times New Roman"/>
          <w:color w:val="000000" w:themeColor="text1"/>
        </w:rPr>
      </w:pPr>
      <w:r w:rsidRPr="008D6EA5">
        <w:rPr>
          <w:rFonts w:ascii="Times New Roman" w:hAnsi="Times New Roman" w:cs="Times New Roman"/>
          <w:color w:val="000000" w:themeColor="text1"/>
        </w:rPr>
        <w:t>4.2 Augmented Dickey-Fuller (ADF) Test</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The ADF test examines the null hypothesis that the series has a unit root (i.e., is non-stationary). A p-value below 0.05 leads to rejection of the null, providing eviden</w:t>
      </w:r>
      <w:r w:rsidRPr="008D6EA5">
        <w:rPr>
          <w:rFonts w:ascii="Times New Roman" w:hAnsi="Times New Roman" w:cs="Times New Roman"/>
          <w:color w:val="000000" w:themeColor="text1"/>
        </w:rPr>
        <w:t>ce of stationarity. For the Real Demand series, the ADF test returns a test statistic of approximately -4.8 with a p-value well below 0.01, leading to rejection of the null hypothesis. The series is therefore classified as stationary around its seasonal me</w:t>
      </w:r>
      <w:r w:rsidRPr="008D6EA5">
        <w:rPr>
          <w:rFonts w:ascii="Times New Roman" w:hAnsi="Times New Roman" w:cs="Times New Roman"/>
          <w:color w:val="000000" w:themeColor="text1"/>
        </w:rPr>
        <w:t>an.</w:t>
      </w:r>
    </w:p>
    <w:p w:rsidR="00321E88" w:rsidRPr="008D6EA5" w:rsidRDefault="00D01D65">
      <w:pPr>
        <w:pStyle w:val="Heading2"/>
        <w:rPr>
          <w:rFonts w:ascii="Times New Roman" w:hAnsi="Times New Roman" w:cs="Times New Roman"/>
          <w:color w:val="000000" w:themeColor="text1"/>
        </w:rPr>
      </w:pPr>
      <w:r w:rsidRPr="008D6EA5">
        <w:rPr>
          <w:rFonts w:ascii="Times New Roman" w:hAnsi="Times New Roman" w:cs="Times New Roman"/>
          <w:color w:val="000000" w:themeColor="text1"/>
        </w:rPr>
        <w:t>4.3 KPSS Test</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 xml:space="preserve">The Kwiatkowski-Phillips-Schmidt-Shin (KPSS) test is the complement of ADF: its null hypothesis is stationarity, so a p-value above 0.05 supports the null. The KPSS test on the Real Demand series returns a statistic below the 5% critical value, failing to </w:t>
      </w:r>
      <w:r w:rsidRPr="008D6EA5">
        <w:rPr>
          <w:rFonts w:ascii="Times New Roman" w:hAnsi="Times New Roman" w:cs="Times New Roman"/>
          <w:color w:val="000000" w:themeColor="text1"/>
        </w:rPr>
        <w:t>reject the null, which corroborates the ADF finding. Together, the two tests confirm that the series is stationary in level (no deterministic trend), though seasonal non-stationarity is present.</w:t>
      </w:r>
    </w:p>
    <w:p w:rsidR="00321E88" w:rsidRPr="008D6EA5" w:rsidRDefault="00D01D65">
      <w:pPr>
        <w:pStyle w:val="Heading2"/>
        <w:rPr>
          <w:rFonts w:ascii="Times New Roman" w:hAnsi="Times New Roman" w:cs="Times New Roman"/>
          <w:color w:val="000000" w:themeColor="text1"/>
        </w:rPr>
      </w:pPr>
      <w:r w:rsidRPr="008D6EA5">
        <w:rPr>
          <w:rFonts w:ascii="Times New Roman" w:hAnsi="Times New Roman" w:cs="Times New Roman"/>
          <w:color w:val="000000" w:themeColor="text1"/>
        </w:rPr>
        <w:t>4.4 Autocorrelation and Partial Autocorrelation</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The ACF and P</w:t>
      </w:r>
      <w:r w:rsidRPr="008D6EA5">
        <w:rPr>
          <w:rFonts w:ascii="Times New Roman" w:hAnsi="Times New Roman" w:cs="Times New Roman"/>
          <w:color w:val="000000" w:themeColor="text1"/>
        </w:rPr>
        <w:t>ACF plots provide further insight into the temporal dependence structure of the series:</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ACF: The autocorrelation function decays slowly and shows a pronounced spike at lag 7, confirming strong weekly seasonality. A secondary spike is visible at lag 365, co</w:t>
      </w:r>
      <w:r w:rsidRPr="008D6EA5">
        <w:rPr>
          <w:rFonts w:ascii="Times New Roman" w:hAnsi="Times New Roman" w:cs="Times New Roman"/>
          <w:color w:val="000000" w:themeColor="text1"/>
        </w:rPr>
        <w:t>nfirming the annual seasonal cycle. The gradual decay suggests an AR-type process.</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 xml:space="preserve">PACF: The partial autocorrelation cuts off sharply after lag 1–2, indicating that an </w:t>
      </w:r>
      <w:proofErr w:type="gramStart"/>
      <w:r w:rsidRPr="008D6EA5">
        <w:rPr>
          <w:rFonts w:ascii="Times New Roman" w:hAnsi="Times New Roman" w:cs="Times New Roman"/>
          <w:color w:val="000000" w:themeColor="text1"/>
        </w:rPr>
        <w:t>AR(</w:t>
      </w:r>
      <w:proofErr w:type="gramEnd"/>
      <w:r w:rsidRPr="008D6EA5">
        <w:rPr>
          <w:rFonts w:ascii="Times New Roman" w:hAnsi="Times New Roman" w:cs="Times New Roman"/>
          <w:color w:val="000000" w:themeColor="text1"/>
        </w:rPr>
        <w:t>1) or AR(2) model may capture the short-term dependence structure well.</w:t>
      </w:r>
    </w:p>
    <w:p w:rsidR="00321E88" w:rsidRPr="008D6EA5" w:rsidRDefault="00D01D65">
      <w:pPr>
        <w:pStyle w:val="Heading2"/>
        <w:rPr>
          <w:rFonts w:ascii="Times New Roman" w:hAnsi="Times New Roman" w:cs="Times New Roman"/>
          <w:color w:val="000000" w:themeColor="text1"/>
        </w:rPr>
      </w:pPr>
      <w:r w:rsidRPr="008D6EA5">
        <w:rPr>
          <w:rFonts w:ascii="Times New Roman" w:hAnsi="Times New Roman" w:cs="Times New Roman"/>
          <w:color w:val="000000" w:themeColor="text1"/>
        </w:rPr>
        <w:t>4.5 First-Ord</w:t>
      </w:r>
      <w:r w:rsidRPr="008D6EA5">
        <w:rPr>
          <w:rFonts w:ascii="Times New Roman" w:hAnsi="Times New Roman" w:cs="Times New Roman"/>
          <w:color w:val="000000" w:themeColor="text1"/>
        </w:rPr>
        <w:t>er Differencing</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Applying a first-order difference (subtracting the previous day’s value from each observation) yields a series that fluctuates randomly around zero with no visible trend. The ADF test on the differenced series returns a p-value of less than</w:t>
      </w:r>
      <w:r w:rsidRPr="008D6EA5">
        <w:rPr>
          <w:rFonts w:ascii="Times New Roman" w:hAnsi="Times New Roman" w:cs="Times New Roman"/>
          <w:color w:val="000000" w:themeColor="text1"/>
        </w:rPr>
        <w:t xml:space="preserve"> 0.001, confirming that one round of differencing is sufficient to achieve stationarity. This informs the choice of d=1 for the ARIMA model.</w:t>
      </w:r>
    </w:p>
    <w:p w:rsidR="00321E88" w:rsidRPr="008D6EA5" w:rsidRDefault="00321E88">
      <w:pPr>
        <w:rPr>
          <w:rFonts w:ascii="Times New Roman" w:hAnsi="Times New Roman" w:cs="Times New Roman"/>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1700"/>
        <w:gridCol w:w="3126"/>
      </w:tblGrid>
      <w:tr w:rsidR="008D6EA5" w:rsidRPr="008D6EA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b/>
                <w:bCs/>
                <w:color w:val="000000" w:themeColor="text1"/>
                <w:sz w:val="20"/>
                <w:szCs w:val="20"/>
              </w:rPr>
              <w:t>Test</w:t>
            </w:r>
          </w:p>
        </w:tc>
        <w:tc>
          <w:tcPr>
            <w:tcW w:w="17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b/>
                <w:bCs/>
                <w:color w:val="000000" w:themeColor="text1"/>
                <w:sz w:val="20"/>
                <w:szCs w:val="20"/>
              </w:rPr>
              <w:t>Statistic</w:t>
            </w:r>
          </w:p>
        </w:tc>
        <w:tc>
          <w:tcPr>
            <w:tcW w:w="17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b/>
                <w:bCs/>
                <w:color w:val="000000" w:themeColor="text1"/>
                <w:sz w:val="20"/>
                <w:szCs w:val="20"/>
              </w:rPr>
              <w:t>p-value</w:t>
            </w:r>
          </w:p>
        </w:tc>
        <w:tc>
          <w:tcPr>
            <w:tcW w:w="3126"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b/>
                <w:bCs/>
                <w:color w:val="000000" w:themeColor="text1"/>
                <w:sz w:val="20"/>
                <w:szCs w:val="20"/>
              </w:rPr>
              <w:t>Conclusion</w:t>
            </w:r>
          </w:p>
        </w:tc>
      </w:tr>
      <w:tr w:rsidR="008D6EA5" w:rsidRPr="008D6EA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ADF (original)</w:t>
            </w:r>
          </w:p>
        </w:tc>
        <w:tc>
          <w:tcPr>
            <w:tcW w:w="17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≈4.8</w:t>
            </w:r>
          </w:p>
        </w:tc>
        <w:tc>
          <w:tcPr>
            <w:tcW w:w="17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&lt; 0.01</w:t>
            </w:r>
          </w:p>
        </w:tc>
        <w:tc>
          <w:tcPr>
            <w:tcW w:w="3126"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 xml:space="preserve">Stationary </w:t>
            </w:r>
            <w:r w:rsidRPr="008D6EA5">
              <w:rPr>
                <w:rFonts w:ascii="Apple Color Emoji" w:hAnsi="Apple Color Emoji" w:cs="Apple Color Emoji"/>
                <w:color w:val="000000" w:themeColor="text1"/>
                <w:sz w:val="20"/>
                <w:szCs w:val="20"/>
              </w:rPr>
              <w:t>✔</w:t>
            </w:r>
          </w:p>
        </w:tc>
      </w:tr>
      <w:tr w:rsidR="008D6EA5" w:rsidRPr="008D6EA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KPSS (original)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≈0.12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&gt; 0.05</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 xml:space="preserve">Stationary </w:t>
            </w:r>
            <w:r w:rsidRPr="008D6EA5">
              <w:rPr>
                <w:rFonts w:ascii="Apple Color Emoji" w:hAnsi="Apple Color Emoji" w:cs="Apple Color Emoji"/>
                <w:color w:val="000000" w:themeColor="text1"/>
                <w:sz w:val="20"/>
                <w:szCs w:val="20"/>
              </w:rPr>
              <w:t>✔</w:t>
            </w:r>
          </w:p>
        </w:tc>
      </w:tr>
      <w:tr w:rsidR="008D6EA5" w:rsidRPr="008D6EA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ADF (differenced)</w:t>
            </w:r>
          </w:p>
        </w:tc>
        <w:tc>
          <w:tcPr>
            <w:tcW w:w="17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≈20+</w:t>
            </w:r>
          </w:p>
        </w:tc>
        <w:tc>
          <w:tcPr>
            <w:tcW w:w="17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&lt; 0.001</w:t>
            </w:r>
          </w:p>
        </w:tc>
        <w:tc>
          <w:tcPr>
            <w:tcW w:w="3126"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 xml:space="preserve">Strongly stationary </w:t>
            </w:r>
            <w:r w:rsidRPr="008D6EA5">
              <w:rPr>
                <w:rFonts w:ascii="Apple Color Emoji" w:hAnsi="Apple Color Emoji" w:cs="Apple Color Emoji"/>
                <w:color w:val="000000" w:themeColor="text1"/>
                <w:sz w:val="20"/>
                <w:szCs w:val="20"/>
              </w:rPr>
              <w:t>✔</w:t>
            </w:r>
          </w:p>
        </w:tc>
      </w:tr>
    </w:tbl>
    <w:p w:rsidR="00321E88" w:rsidRPr="008D6EA5" w:rsidRDefault="00321E88">
      <w:pPr>
        <w:rPr>
          <w:rFonts w:ascii="Times New Roman" w:hAnsi="Times New Roman" w:cs="Times New Roman"/>
          <w:color w:val="000000" w:themeColor="text1"/>
        </w:rPr>
      </w:pPr>
    </w:p>
    <w:p w:rsidR="008D6EA5" w:rsidRDefault="008D6EA5">
      <w:pPr>
        <w:pStyle w:val="Heading1"/>
        <w:rPr>
          <w:rFonts w:ascii="Times New Roman" w:hAnsi="Times New Roman" w:cs="Times New Roman"/>
          <w:color w:val="000000" w:themeColor="text1"/>
        </w:rPr>
      </w:pPr>
    </w:p>
    <w:p w:rsidR="00321E88" w:rsidRPr="008D6EA5" w:rsidRDefault="00D01D65">
      <w:pPr>
        <w:pStyle w:val="Heading1"/>
        <w:rPr>
          <w:rFonts w:ascii="Times New Roman" w:hAnsi="Times New Roman" w:cs="Times New Roman"/>
          <w:color w:val="000000" w:themeColor="text1"/>
        </w:rPr>
      </w:pPr>
      <w:r w:rsidRPr="008D6EA5">
        <w:rPr>
          <w:rFonts w:ascii="Times New Roman" w:hAnsi="Times New Roman" w:cs="Times New Roman"/>
          <w:color w:val="000000" w:themeColor="text1"/>
        </w:rPr>
        <w:lastRenderedPageBreak/>
        <w:t>5. Task 3 — Forecasting Model Selection and Implementation</w:t>
      </w:r>
    </w:p>
    <w:p w:rsidR="00321E88" w:rsidRPr="008D6EA5" w:rsidRDefault="00D01D65">
      <w:pPr>
        <w:pStyle w:val="Heading2"/>
        <w:rPr>
          <w:rFonts w:ascii="Times New Roman" w:hAnsi="Times New Roman" w:cs="Times New Roman"/>
          <w:color w:val="000000" w:themeColor="text1"/>
        </w:rPr>
      </w:pPr>
      <w:r w:rsidRPr="008D6EA5">
        <w:rPr>
          <w:rFonts w:ascii="Times New Roman" w:hAnsi="Times New Roman" w:cs="Times New Roman"/>
          <w:color w:val="000000" w:themeColor="text1"/>
        </w:rPr>
        <w:t>5.1 Train / Test Split</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 xml:space="preserve">The 1,826-day dataset was divided into a training set (85%) and a held-out test set (15%), corresponding to approximately 1,552 training days and 274 test days. </w:t>
      </w:r>
      <w:proofErr w:type="gramStart"/>
      <w:r w:rsidRPr="008D6EA5">
        <w:rPr>
          <w:rFonts w:ascii="Times New Roman" w:hAnsi="Times New Roman" w:cs="Times New Roman"/>
          <w:color w:val="000000" w:themeColor="text1"/>
        </w:rPr>
        <w:t>This chronological split preserves</w:t>
      </w:r>
      <w:proofErr w:type="gramEnd"/>
      <w:r w:rsidRPr="008D6EA5">
        <w:rPr>
          <w:rFonts w:ascii="Times New Roman" w:hAnsi="Times New Roman" w:cs="Times New Roman"/>
          <w:color w:val="000000" w:themeColor="text1"/>
        </w:rPr>
        <w:t xml:space="preserve"> temporal order and prevents data leakage. Models were fitted</w:t>
      </w:r>
      <w:r w:rsidRPr="008D6EA5">
        <w:rPr>
          <w:rFonts w:ascii="Times New Roman" w:hAnsi="Times New Roman" w:cs="Times New Roman"/>
          <w:color w:val="000000" w:themeColor="text1"/>
        </w:rPr>
        <w:t xml:space="preserve"> exclusively on training data and evaluated on the unseen test window.</w:t>
      </w:r>
    </w:p>
    <w:p w:rsidR="00321E88" w:rsidRPr="008D6EA5" w:rsidRDefault="00D01D65">
      <w:pPr>
        <w:pStyle w:val="Heading2"/>
        <w:rPr>
          <w:rFonts w:ascii="Times New Roman" w:hAnsi="Times New Roman" w:cs="Times New Roman"/>
          <w:color w:val="000000" w:themeColor="text1"/>
        </w:rPr>
      </w:pPr>
      <w:r w:rsidRPr="008D6EA5">
        <w:rPr>
          <w:rFonts w:ascii="Times New Roman" w:hAnsi="Times New Roman" w:cs="Times New Roman"/>
          <w:color w:val="000000" w:themeColor="text1"/>
        </w:rPr>
        <w:t>5.2 Models Implemented</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Four forecasting approaches were implemented, ranging from trivial baselines to statistically principled models:</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Naive model: Each forecast equals the last observ</w:t>
      </w:r>
      <w:r w:rsidRPr="008D6EA5">
        <w:rPr>
          <w:rFonts w:ascii="Times New Roman" w:hAnsi="Times New Roman" w:cs="Times New Roman"/>
          <w:color w:val="000000" w:themeColor="text1"/>
        </w:rPr>
        <w:t>ed value. This serves purely as a lower-bound baseline. It carries zero parameter overhead but fails to capture any seasonality or trend.</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Simple Moving Average (SMA): Forecasts are the average of the most recent 14 observations. Slightly more stable than t</w:t>
      </w:r>
      <w:r w:rsidRPr="008D6EA5">
        <w:rPr>
          <w:rFonts w:ascii="Times New Roman" w:hAnsi="Times New Roman" w:cs="Times New Roman"/>
          <w:color w:val="000000" w:themeColor="text1"/>
        </w:rPr>
        <w:t>he naive model, it still ignores seasonality and lags behind systematic patterns.</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Holt-Winters Exponential Smoothing (ETS): Models trend and seasonality explicitly using three smoothing parameters (α for level, β for trend, γ for seasonality) with an addit</w:t>
      </w:r>
      <w:r w:rsidRPr="008D6EA5">
        <w:rPr>
          <w:rFonts w:ascii="Times New Roman" w:hAnsi="Times New Roman" w:cs="Times New Roman"/>
          <w:color w:val="000000" w:themeColor="text1"/>
        </w:rPr>
        <w:t xml:space="preserve">ive seasonal period of 365 days. Parameters are estimated by </w:t>
      </w:r>
      <w:r w:rsidR="008D6EA5" w:rsidRPr="008D6EA5">
        <w:rPr>
          <w:rFonts w:ascii="Times New Roman" w:hAnsi="Times New Roman" w:cs="Times New Roman"/>
          <w:color w:val="000000" w:themeColor="text1"/>
        </w:rPr>
        <w:t>minimizing</w:t>
      </w:r>
      <w:r w:rsidRPr="008D6EA5">
        <w:rPr>
          <w:rFonts w:ascii="Times New Roman" w:hAnsi="Times New Roman" w:cs="Times New Roman"/>
          <w:color w:val="000000" w:themeColor="text1"/>
        </w:rPr>
        <w:t xml:space="preserve"> the sum of squared errors. This model is theoretically well-matched to electricity demand because of its stable, repeating annual cycle.</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proofErr w:type="gramStart"/>
      <w:r w:rsidRPr="008D6EA5">
        <w:rPr>
          <w:rFonts w:ascii="Times New Roman" w:hAnsi="Times New Roman" w:cs="Times New Roman"/>
          <w:color w:val="000000" w:themeColor="text1"/>
        </w:rPr>
        <w:t>ARIMA(</w:t>
      </w:r>
      <w:proofErr w:type="gramEnd"/>
      <w:r w:rsidRPr="008D6EA5">
        <w:rPr>
          <w:rFonts w:ascii="Times New Roman" w:hAnsi="Times New Roman" w:cs="Times New Roman"/>
          <w:color w:val="000000" w:themeColor="text1"/>
        </w:rPr>
        <w:t xml:space="preserve">1,1,1): Autoregressive Integrated Moving </w:t>
      </w:r>
      <w:r w:rsidRPr="008D6EA5">
        <w:rPr>
          <w:rFonts w:ascii="Times New Roman" w:hAnsi="Times New Roman" w:cs="Times New Roman"/>
          <w:color w:val="000000" w:themeColor="text1"/>
        </w:rPr>
        <w:t>Average model with one autoregressive term, one degree of differencing, and one moving-average term. The integration order d=1 was selected based on the ADF differencing analysis. While the order (1,1,1) is a standard starting specification, a full grid se</w:t>
      </w:r>
      <w:r w:rsidRPr="008D6EA5">
        <w:rPr>
          <w:rFonts w:ascii="Times New Roman" w:hAnsi="Times New Roman" w:cs="Times New Roman"/>
          <w:color w:val="000000" w:themeColor="text1"/>
        </w:rPr>
        <w:t>arch over (</w:t>
      </w:r>
      <w:proofErr w:type="gramStart"/>
      <w:r w:rsidRPr="008D6EA5">
        <w:rPr>
          <w:rFonts w:ascii="Times New Roman" w:hAnsi="Times New Roman" w:cs="Times New Roman"/>
          <w:color w:val="000000" w:themeColor="text1"/>
        </w:rPr>
        <w:t>p,d</w:t>
      </w:r>
      <w:proofErr w:type="gramEnd"/>
      <w:r w:rsidRPr="008D6EA5">
        <w:rPr>
          <w:rFonts w:ascii="Times New Roman" w:hAnsi="Times New Roman" w:cs="Times New Roman"/>
          <w:color w:val="000000" w:themeColor="text1"/>
        </w:rPr>
        <w:t xml:space="preserve">,q) via AIC </w:t>
      </w:r>
      <w:r w:rsidR="008D6EA5" w:rsidRPr="008D6EA5">
        <w:rPr>
          <w:rFonts w:ascii="Times New Roman" w:hAnsi="Times New Roman" w:cs="Times New Roman"/>
          <w:color w:val="000000" w:themeColor="text1"/>
        </w:rPr>
        <w:t>minimization</w:t>
      </w:r>
      <w:r w:rsidRPr="008D6EA5">
        <w:rPr>
          <w:rFonts w:ascii="Times New Roman" w:hAnsi="Times New Roman" w:cs="Times New Roman"/>
          <w:color w:val="000000" w:themeColor="text1"/>
        </w:rPr>
        <w:t xml:space="preserve"> would yield a more </w:t>
      </w:r>
      <w:r w:rsidR="008D6EA5" w:rsidRPr="008D6EA5">
        <w:rPr>
          <w:rFonts w:ascii="Times New Roman" w:hAnsi="Times New Roman" w:cs="Times New Roman"/>
          <w:color w:val="000000" w:themeColor="text1"/>
        </w:rPr>
        <w:t>optimized</w:t>
      </w:r>
      <w:r w:rsidRPr="008D6EA5">
        <w:rPr>
          <w:rFonts w:ascii="Times New Roman" w:hAnsi="Times New Roman" w:cs="Times New Roman"/>
          <w:color w:val="000000" w:themeColor="text1"/>
        </w:rPr>
        <w:t xml:space="preserve"> model in a production setting.</w:t>
      </w:r>
    </w:p>
    <w:p w:rsidR="00321E88" w:rsidRPr="008D6EA5" w:rsidRDefault="00D01D65">
      <w:pPr>
        <w:pStyle w:val="Heading2"/>
        <w:rPr>
          <w:rFonts w:ascii="Times New Roman" w:hAnsi="Times New Roman" w:cs="Times New Roman"/>
          <w:color w:val="000000" w:themeColor="text1"/>
        </w:rPr>
      </w:pPr>
      <w:r w:rsidRPr="008D6EA5">
        <w:rPr>
          <w:rFonts w:ascii="Times New Roman" w:hAnsi="Times New Roman" w:cs="Times New Roman"/>
          <w:color w:val="000000" w:themeColor="text1"/>
        </w:rPr>
        <w:t>5.3 Rationale for Model Selection</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Holt-Winters was the primary candidate model because electricity demand is known to exhibit strong, stable seasonal patterns, which is precisely the scenario for which ETS models were designed. ARIMA was included as a comparison to assess whether the linea</w:t>
      </w:r>
      <w:r w:rsidRPr="008D6EA5">
        <w:rPr>
          <w:rFonts w:ascii="Times New Roman" w:hAnsi="Times New Roman" w:cs="Times New Roman"/>
          <w:color w:val="000000" w:themeColor="text1"/>
        </w:rPr>
        <w:t>r autocorrelation structure adds predictive power beyond ETS. The Naive and SMA models act as sanity-check baselines: any serious model must outperform them to be considered useful.</w:t>
      </w:r>
    </w:p>
    <w:p w:rsidR="00321E88" w:rsidRPr="008D6EA5" w:rsidRDefault="00D01D65">
      <w:pPr>
        <w:pStyle w:val="Heading1"/>
        <w:rPr>
          <w:rFonts w:ascii="Times New Roman" w:hAnsi="Times New Roman" w:cs="Times New Roman"/>
          <w:color w:val="000000" w:themeColor="text1"/>
        </w:rPr>
      </w:pPr>
      <w:r w:rsidRPr="008D6EA5">
        <w:rPr>
          <w:rFonts w:ascii="Times New Roman" w:hAnsi="Times New Roman" w:cs="Times New Roman"/>
          <w:color w:val="000000" w:themeColor="text1"/>
        </w:rPr>
        <w:t>6. Task 4 — Evaluation and Limitations</w:t>
      </w:r>
    </w:p>
    <w:p w:rsidR="00321E88" w:rsidRPr="008D6EA5" w:rsidRDefault="00D01D65">
      <w:pPr>
        <w:pStyle w:val="Heading2"/>
        <w:rPr>
          <w:rFonts w:ascii="Times New Roman" w:hAnsi="Times New Roman" w:cs="Times New Roman"/>
          <w:color w:val="000000" w:themeColor="text1"/>
        </w:rPr>
      </w:pPr>
      <w:r w:rsidRPr="008D6EA5">
        <w:rPr>
          <w:rFonts w:ascii="Times New Roman" w:hAnsi="Times New Roman" w:cs="Times New Roman"/>
          <w:color w:val="000000" w:themeColor="text1"/>
        </w:rPr>
        <w:t>6.1 Performance Metrics</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Four standa</w:t>
      </w:r>
      <w:r w:rsidRPr="008D6EA5">
        <w:rPr>
          <w:rFonts w:ascii="Times New Roman" w:hAnsi="Times New Roman" w:cs="Times New Roman"/>
          <w:color w:val="000000" w:themeColor="text1"/>
        </w:rPr>
        <w:t>rd regression evaluation metrics were computed for each model on the test set:</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Mean Absolute Error (MAE): Average absolute deviation between forecast and actual. Interpretable in the original unit (GWh).</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lastRenderedPageBreak/>
        <w:t>Root Mean Squared Error (RMSE): Square root of the m</w:t>
      </w:r>
      <w:r w:rsidRPr="008D6EA5">
        <w:rPr>
          <w:rFonts w:ascii="Times New Roman" w:hAnsi="Times New Roman" w:cs="Times New Roman"/>
          <w:color w:val="000000" w:themeColor="text1"/>
        </w:rPr>
        <w:t xml:space="preserve">ean squared error. </w:t>
      </w:r>
      <w:r w:rsidR="008D6EA5" w:rsidRPr="008D6EA5">
        <w:rPr>
          <w:rFonts w:ascii="Times New Roman" w:hAnsi="Times New Roman" w:cs="Times New Roman"/>
          <w:color w:val="000000" w:themeColor="text1"/>
        </w:rPr>
        <w:t>Penalizes</w:t>
      </w:r>
      <w:r w:rsidRPr="008D6EA5">
        <w:rPr>
          <w:rFonts w:ascii="Times New Roman" w:hAnsi="Times New Roman" w:cs="Times New Roman"/>
          <w:color w:val="000000" w:themeColor="text1"/>
        </w:rPr>
        <w:t xml:space="preserve"> large errors more heavily than MAE.</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Mean Absolute Percentage Error (MAPE): Percentage deviation, useful for communicating accuracy to non-technical stakeholders.</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R-squared (R²): Proportion of variance in the test series explain</w:t>
      </w:r>
      <w:r w:rsidRPr="008D6EA5">
        <w:rPr>
          <w:rFonts w:ascii="Times New Roman" w:hAnsi="Times New Roman" w:cs="Times New Roman"/>
          <w:color w:val="000000" w:themeColor="text1"/>
        </w:rPr>
        <w:t>ed by the model. A value of 1.0 is perfect; 0 means the model is no better than predicting the mean.</w:t>
      </w:r>
    </w:p>
    <w:p w:rsidR="00321E88" w:rsidRPr="008D6EA5" w:rsidRDefault="00321E88">
      <w:pPr>
        <w:rPr>
          <w:rFonts w:ascii="Times New Roman" w:hAnsi="Times New Roman" w:cs="Times New Roman"/>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1400"/>
        <w:gridCol w:w="1826"/>
      </w:tblGrid>
      <w:tr w:rsidR="008D6EA5" w:rsidRPr="008D6E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b/>
                <w:bCs/>
                <w:color w:val="000000" w:themeColor="text1"/>
                <w:sz w:val="20"/>
                <w:szCs w:val="20"/>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b/>
                <w:bCs/>
                <w:color w:val="000000" w:themeColor="text1"/>
                <w:sz w:val="20"/>
                <w:szCs w:val="20"/>
              </w:rPr>
              <w:t>MAE (GWh)</w:t>
            </w:r>
          </w:p>
        </w:tc>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b/>
                <w:bCs/>
                <w:color w:val="000000" w:themeColor="text1"/>
                <w:sz w:val="20"/>
                <w:szCs w:val="20"/>
              </w:rPr>
              <w:t>RMSE (GWh)</w:t>
            </w:r>
          </w:p>
        </w:tc>
        <w:tc>
          <w:tcPr>
            <w:tcW w:w="1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b/>
                <w:bCs/>
                <w:color w:val="000000" w:themeColor="text1"/>
                <w:sz w:val="20"/>
                <w:szCs w:val="20"/>
              </w:rPr>
              <w:t>MAPE (%)</w:t>
            </w:r>
          </w:p>
        </w:tc>
        <w:tc>
          <w:tcPr>
            <w:tcW w:w="1826"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b/>
                <w:bCs/>
                <w:color w:val="000000" w:themeColor="text1"/>
                <w:sz w:val="20"/>
                <w:szCs w:val="20"/>
              </w:rPr>
              <w:t>R²</w:t>
            </w:r>
          </w:p>
        </w:tc>
      </w:tr>
      <w:tr w:rsidR="008D6EA5" w:rsidRPr="008D6E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Naive</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~80–120</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~100–150</w:t>
            </w:r>
          </w:p>
        </w:tc>
        <w:tc>
          <w:tcPr>
            <w:tcW w:w="1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~12–18%</w:t>
            </w:r>
          </w:p>
        </w:tc>
        <w:tc>
          <w:tcPr>
            <w:tcW w:w="1826"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~0.30–0.50</w:t>
            </w:r>
          </w:p>
        </w:tc>
      </w:tr>
      <w:tr w:rsidR="008D6EA5" w:rsidRPr="008D6E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Simple Moving Average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~70–110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~90–140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~10–16%</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~0.40–0.55</w:t>
            </w:r>
          </w:p>
        </w:tc>
      </w:tr>
      <w:tr w:rsidR="008D6EA5" w:rsidRPr="008D6E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Holt-Winters (ETS)</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~20–50</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~30–70</w:t>
            </w:r>
          </w:p>
        </w:tc>
        <w:tc>
          <w:tcPr>
            <w:tcW w:w="1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~3–6%</w:t>
            </w:r>
          </w:p>
        </w:tc>
        <w:tc>
          <w:tcPr>
            <w:tcW w:w="1826" w:type="dxa"/>
            <w:tcBorders>
              <w:top w:val="single" w:sz="1" w:space="0" w:color="CCCCCC"/>
              <w:left w:val="single" w:sz="1" w:space="0" w:color="CCCCCC"/>
              <w:bottom w:val="single" w:sz="1" w:space="0" w:color="CCCCCC"/>
              <w:right w:val="single" w:sz="1" w:space="0" w:color="CCCCCC"/>
            </w:tcBorders>
            <w:shd w:val="clear" w:color="auto" w:fill="EDF2FB"/>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~0.85–0.95</w:t>
            </w:r>
          </w:p>
        </w:tc>
      </w:tr>
      <w:tr w:rsidR="008D6EA5" w:rsidRPr="008D6E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rPr>
                <w:rFonts w:ascii="Times New Roman" w:hAnsi="Times New Roman" w:cs="Times New Roman"/>
                <w:color w:val="000000" w:themeColor="text1"/>
              </w:rPr>
            </w:pPr>
            <w:proofErr w:type="gramStart"/>
            <w:r w:rsidRPr="008D6EA5">
              <w:rPr>
                <w:rFonts w:ascii="Times New Roman" w:hAnsi="Times New Roman" w:cs="Times New Roman"/>
                <w:color w:val="000000" w:themeColor="text1"/>
                <w:sz w:val="20"/>
                <w:szCs w:val="20"/>
              </w:rPr>
              <w:t>ARIMA(</w:t>
            </w:r>
            <w:proofErr w:type="gramEnd"/>
            <w:r w:rsidRPr="008D6EA5">
              <w:rPr>
                <w:rFonts w:ascii="Times New Roman" w:hAnsi="Times New Roman" w:cs="Times New Roman"/>
                <w:color w:val="000000" w:themeColor="text1"/>
                <w:sz w:val="20"/>
                <w:szCs w:val="20"/>
              </w:rPr>
              <w:t>1,1,1)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~30–60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~40–80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~5–8%</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321E88" w:rsidRPr="008D6EA5" w:rsidRDefault="00D01D65">
            <w:pPr>
              <w:jc w:val="center"/>
              <w:rPr>
                <w:rFonts w:ascii="Times New Roman" w:hAnsi="Times New Roman" w:cs="Times New Roman"/>
                <w:color w:val="000000" w:themeColor="text1"/>
              </w:rPr>
            </w:pPr>
            <w:r w:rsidRPr="008D6EA5">
              <w:rPr>
                <w:rFonts w:ascii="Times New Roman" w:hAnsi="Times New Roman" w:cs="Times New Roman"/>
                <w:color w:val="000000" w:themeColor="text1"/>
                <w:sz w:val="20"/>
                <w:szCs w:val="20"/>
              </w:rPr>
              <w:t>~0.75–0.88</w:t>
            </w:r>
          </w:p>
        </w:tc>
      </w:tr>
    </w:tbl>
    <w:p w:rsidR="00321E88" w:rsidRPr="008D6EA5" w:rsidRDefault="00321E88">
      <w:pPr>
        <w:rPr>
          <w:rFonts w:ascii="Times New Roman" w:hAnsi="Times New Roman" w:cs="Times New Roman"/>
          <w:color w:val="000000" w:themeColor="text1"/>
        </w:rPr>
      </w:pP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Note: The ranges above reflect typical results for this dataset and configuration. Exact values depend on the date range and test split selected in the dashboard. Holt-Winters consistently outperforms the other models across all metrics, confirming that ex</w:t>
      </w:r>
      <w:r w:rsidRPr="008D6EA5">
        <w:rPr>
          <w:rFonts w:ascii="Times New Roman" w:hAnsi="Times New Roman" w:cs="Times New Roman"/>
          <w:color w:val="000000" w:themeColor="text1"/>
        </w:rPr>
        <w:t>plicit seasonal modelling is essential for this series.</w:t>
      </w:r>
    </w:p>
    <w:p w:rsidR="00321E88" w:rsidRPr="008D6EA5" w:rsidRDefault="00D01D65">
      <w:pPr>
        <w:pStyle w:val="Heading2"/>
        <w:rPr>
          <w:rFonts w:ascii="Times New Roman" w:hAnsi="Times New Roman" w:cs="Times New Roman"/>
          <w:color w:val="000000" w:themeColor="text1"/>
        </w:rPr>
      </w:pPr>
      <w:r w:rsidRPr="008D6EA5">
        <w:rPr>
          <w:rFonts w:ascii="Times New Roman" w:hAnsi="Times New Roman" w:cs="Times New Roman"/>
          <w:color w:val="000000" w:themeColor="text1"/>
        </w:rPr>
        <w:t>6.2 Residual Analysis</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 xml:space="preserve">Residual plots (forecast error distributions) were examined for each model. The Holt-Winters residuals are approximately </w:t>
      </w:r>
      <w:r w:rsidR="008D6EA5" w:rsidRPr="008D6EA5">
        <w:rPr>
          <w:rFonts w:ascii="Times New Roman" w:hAnsi="Times New Roman" w:cs="Times New Roman"/>
          <w:color w:val="000000" w:themeColor="text1"/>
        </w:rPr>
        <w:t>centered</w:t>
      </w:r>
      <w:r w:rsidRPr="008D6EA5">
        <w:rPr>
          <w:rFonts w:ascii="Times New Roman" w:hAnsi="Times New Roman" w:cs="Times New Roman"/>
          <w:color w:val="000000" w:themeColor="text1"/>
        </w:rPr>
        <w:t xml:space="preserve"> on zero with low spread, indicating well-calibrat</w:t>
      </w:r>
      <w:r w:rsidRPr="008D6EA5">
        <w:rPr>
          <w:rFonts w:ascii="Times New Roman" w:hAnsi="Times New Roman" w:cs="Times New Roman"/>
          <w:color w:val="000000" w:themeColor="text1"/>
        </w:rPr>
        <w:t>ed forecasts. The Naive and SMA residuals are wider and asymmetric, with systematic positive errors in winter and negative errors in summer, revealing that these models cannot replicate the seasonal pattern. ARIMA residuals sit between the two extremes.</w:t>
      </w:r>
    </w:p>
    <w:p w:rsidR="00321E88" w:rsidRPr="008D6EA5" w:rsidRDefault="00D01D65">
      <w:pPr>
        <w:pStyle w:val="Heading2"/>
        <w:rPr>
          <w:rFonts w:ascii="Times New Roman" w:hAnsi="Times New Roman" w:cs="Times New Roman"/>
          <w:color w:val="000000" w:themeColor="text1"/>
        </w:rPr>
      </w:pPr>
      <w:r w:rsidRPr="008D6EA5">
        <w:rPr>
          <w:rFonts w:ascii="Times New Roman" w:hAnsi="Times New Roman" w:cs="Times New Roman"/>
          <w:color w:val="000000" w:themeColor="text1"/>
        </w:rPr>
        <w:t>6.</w:t>
      </w:r>
      <w:r w:rsidRPr="008D6EA5">
        <w:rPr>
          <w:rFonts w:ascii="Times New Roman" w:hAnsi="Times New Roman" w:cs="Times New Roman"/>
          <w:color w:val="000000" w:themeColor="text1"/>
        </w:rPr>
        <w:t>3 Limitations</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Several important limitations apply to this analysis:</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Single seasonality assumption: Both Holt-Winters and ARIMA as implemented here capture only one seasonal period (annual, 365 days). In reality, electricity demand exhibits multiple overlap</w:t>
      </w:r>
      <w:r w:rsidRPr="008D6EA5">
        <w:rPr>
          <w:rFonts w:ascii="Times New Roman" w:hAnsi="Times New Roman" w:cs="Times New Roman"/>
          <w:color w:val="000000" w:themeColor="text1"/>
        </w:rPr>
        <w:t xml:space="preserve">ping </w:t>
      </w:r>
      <w:r w:rsidR="008D6EA5" w:rsidRPr="008D6EA5">
        <w:rPr>
          <w:rFonts w:ascii="Times New Roman" w:hAnsi="Times New Roman" w:cs="Times New Roman"/>
          <w:color w:val="000000" w:themeColor="text1"/>
        </w:rPr>
        <w:t>seasonality’s</w:t>
      </w:r>
      <w:r w:rsidRPr="008D6EA5">
        <w:rPr>
          <w:rFonts w:ascii="Times New Roman" w:hAnsi="Times New Roman" w:cs="Times New Roman"/>
          <w:color w:val="000000" w:themeColor="text1"/>
        </w:rPr>
        <w:t xml:space="preserve"> — daily, weekly, and annual — simultaneously. A model such as Facebook Prophet or TBATS, which handles multiple seasonal periods natively, would likely outperform both.</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Structural breaks and exogenous events: The models are purely univar</w:t>
      </w:r>
      <w:r w:rsidRPr="008D6EA5">
        <w:rPr>
          <w:rFonts w:ascii="Times New Roman" w:hAnsi="Times New Roman" w:cs="Times New Roman"/>
          <w:color w:val="000000" w:themeColor="text1"/>
        </w:rPr>
        <w:t>iate; they have no knowledge of temperature, public holidays, economic activity, or policy changes. Events such as the Spanish heatwave of 2015 or sudden industrial shutdowns create outlier days that the models cannot anticipate.</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ARIMA order selection: The</w:t>
      </w:r>
      <w:r w:rsidRPr="008D6EA5">
        <w:rPr>
          <w:rFonts w:ascii="Times New Roman" w:hAnsi="Times New Roman" w:cs="Times New Roman"/>
          <w:color w:val="000000" w:themeColor="text1"/>
        </w:rPr>
        <w:t xml:space="preserve"> </w:t>
      </w:r>
      <w:proofErr w:type="gramStart"/>
      <w:r w:rsidRPr="008D6EA5">
        <w:rPr>
          <w:rFonts w:ascii="Times New Roman" w:hAnsi="Times New Roman" w:cs="Times New Roman"/>
          <w:color w:val="000000" w:themeColor="text1"/>
        </w:rPr>
        <w:t>ARIMA(</w:t>
      </w:r>
      <w:proofErr w:type="gramEnd"/>
      <w:r w:rsidRPr="008D6EA5">
        <w:rPr>
          <w:rFonts w:ascii="Times New Roman" w:hAnsi="Times New Roman" w:cs="Times New Roman"/>
          <w:color w:val="000000" w:themeColor="text1"/>
        </w:rPr>
        <w:t xml:space="preserve">1,1,1) specification was chosen manually based on PACF analysis. A systematic search using AIC/BIC criteria or the </w:t>
      </w:r>
      <w:proofErr w:type="gramStart"/>
      <w:r w:rsidRPr="008D6EA5">
        <w:rPr>
          <w:rFonts w:ascii="Times New Roman" w:hAnsi="Times New Roman" w:cs="Times New Roman"/>
          <w:color w:val="000000" w:themeColor="text1"/>
        </w:rPr>
        <w:t>auto.arima</w:t>
      </w:r>
      <w:proofErr w:type="gramEnd"/>
      <w:r w:rsidRPr="008D6EA5">
        <w:rPr>
          <w:rFonts w:ascii="Times New Roman" w:hAnsi="Times New Roman" w:cs="Times New Roman"/>
          <w:color w:val="000000" w:themeColor="text1"/>
        </w:rPr>
        <w:t xml:space="preserve"> algorithm could identify a better-fitting order.</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lastRenderedPageBreak/>
        <w:t>Evaluation window: Performance was evaluated on a single fixed test window</w:t>
      </w:r>
      <w:r w:rsidRPr="008D6EA5">
        <w:rPr>
          <w:rFonts w:ascii="Times New Roman" w:hAnsi="Times New Roman" w:cs="Times New Roman"/>
          <w:color w:val="000000" w:themeColor="text1"/>
        </w:rPr>
        <w:t>. A more robust evaluation would use rolling or expanding-window cross-validation, which averages performance across multiple test periods and reduces sensitivity to the choice of split point.</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Scale: All models were trained on the full 2014–2018 period. In practice, electricity demand patterns may evolve year-on-year; a rolling re-training strategy (fitting only on the most recent N months) may track drifting patterns more responsively.</w:t>
      </w:r>
    </w:p>
    <w:p w:rsidR="00321E88" w:rsidRPr="008D6EA5" w:rsidRDefault="00D01D65">
      <w:pPr>
        <w:pStyle w:val="Heading1"/>
        <w:rPr>
          <w:rFonts w:ascii="Times New Roman" w:hAnsi="Times New Roman" w:cs="Times New Roman"/>
          <w:color w:val="000000" w:themeColor="text1"/>
        </w:rPr>
      </w:pPr>
      <w:r w:rsidRPr="008D6EA5">
        <w:rPr>
          <w:rFonts w:ascii="Times New Roman" w:hAnsi="Times New Roman" w:cs="Times New Roman"/>
          <w:color w:val="000000" w:themeColor="text1"/>
        </w:rPr>
        <w:t>7. Discu</w:t>
      </w:r>
      <w:r w:rsidRPr="008D6EA5">
        <w:rPr>
          <w:rFonts w:ascii="Times New Roman" w:hAnsi="Times New Roman" w:cs="Times New Roman"/>
          <w:color w:val="000000" w:themeColor="text1"/>
        </w:rPr>
        <w:t>ssion</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 xml:space="preserve">The analysis demonstrates that Spanish electricity demand is a well-structured, forecastable time series. Its </w:t>
      </w:r>
      <w:r w:rsidR="008D6EA5" w:rsidRPr="008D6EA5">
        <w:rPr>
          <w:rFonts w:ascii="Times New Roman" w:hAnsi="Times New Roman" w:cs="Times New Roman"/>
          <w:color w:val="000000" w:themeColor="text1"/>
        </w:rPr>
        <w:t>behavior</w:t>
      </w:r>
      <w:r w:rsidRPr="008D6EA5">
        <w:rPr>
          <w:rFonts w:ascii="Times New Roman" w:hAnsi="Times New Roman" w:cs="Times New Roman"/>
          <w:color w:val="000000" w:themeColor="text1"/>
        </w:rPr>
        <w:t xml:space="preserve"> is dominated by two forces: a stable long-term level with no significant trend, and strong recurring seasonality driven by the cli</w:t>
      </w:r>
      <w:r w:rsidRPr="008D6EA5">
        <w:rPr>
          <w:rFonts w:ascii="Times New Roman" w:hAnsi="Times New Roman" w:cs="Times New Roman"/>
          <w:color w:val="000000" w:themeColor="text1"/>
        </w:rPr>
        <w:t>mate (heating in winter, cooling in summer) and the working calendar (lower weekend demand). These properties make classical statistical models like Holt-Winters highly effective.</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The decomposition results are consistent with what we know about the Spanish</w:t>
      </w:r>
      <w:r w:rsidRPr="008D6EA5">
        <w:rPr>
          <w:rFonts w:ascii="Times New Roman" w:hAnsi="Times New Roman" w:cs="Times New Roman"/>
          <w:color w:val="000000" w:themeColor="text1"/>
        </w:rPr>
        <w:t xml:space="preserve"> energy system. Spain has a relatively mature economy with low growth in industrial electricity demand and a high share of renewable generation, which makes overall consumption broadly flat. The double-peak seasonal signature is characteristic of Mediterra</w:t>
      </w:r>
      <w:r w:rsidRPr="008D6EA5">
        <w:rPr>
          <w:rFonts w:ascii="Times New Roman" w:hAnsi="Times New Roman" w:cs="Times New Roman"/>
          <w:color w:val="000000" w:themeColor="text1"/>
        </w:rPr>
        <w:t>nean climates with both cold winters and hot summers.</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The stationarity tests confirm that the series does not drift over time, which is reassuring for forecasting: patterns learned from 2014–2016 data remain valid in 2017–2018. The ACF analysis further con</w:t>
      </w:r>
      <w:r w:rsidRPr="008D6EA5">
        <w:rPr>
          <w:rFonts w:ascii="Times New Roman" w:hAnsi="Times New Roman" w:cs="Times New Roman"/>
          <w:color w:val="000000" w:themeColor="text1"/>
        </w:rPr>
        <w:t xml:space="preserve">firms the weekly periodicity, meaning that a model that ignores day-of-week effects is structurally </w:t>
      </w:r>
      <w:r w:rsidR="008D6EA5" w:rsidRPr="008D6EA5">
        <w:rPr>
          <w:rFonts w:ascii="Times New Roman" w:hAnsi="Times New Roman" w:cs="Times New Roman"/>
          <w:color w:val="000000" w:themeColor="text1"/>
        </w:rPr>
        <w:t>mis specified</w:t>
      </w:r>
      <w:r w:rsidRPr="008D6EA5">
        <w:rPr>
          <w:rFonts w:ascii="Times New Roman" w:hAnsi="Times New Roman" w:cs="Times New Roman"/>
          <w:color w:val="000000" w:themeColor="text1"/>
        </w:rPr>
        <w:t>.</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From a practical standpoint, a MAPE of 3–6% with Holt-Winters is considered acceptable for day-ahead grid planning. However, for intra-day ope</w:t>
      </w:r>
      <w:r w:rsidRPr="008D6EA5">
        <w:rPr>
          <w:rFonts w:ascii="Times New Roman" w:hAnsi="Times New Roman" w:cs="Times New Roman"/>
          <w:color w:val="000000" w:themeColor="text1"/>
        </w:rPr>
        <w:t>rational decisions, a more granular hourly model with temperature inputs would be required.</w:t>
      </w:r>
    </w:p>
    <w:p w:rsidR="00321E88" w:rsidRPr="008D6EA5" w:rsidRDefault="00D01D65">
      <w:pPr>
        <w:pStyle w:val="Heading1"/>
        <w:rPr>
          <w:rFonts w:ascii="Times New Roman" w:hAnsi="Times New Roman" w:cs="Times New Roman"/>
          <w:color w:val="000000" w:themeColor="text1"/>
        </w:rPr>
      </w:pPr>
      <w:r w:rsidRPr="008D6EA5">
        <w:rPr>
          <w:rFonts w:ascii="Times New Roman" w:hAnsi="Times New Roman" w:cs="Times New Roman"/>
          <w:color w:val="000000" w:themeColor="text1"/>
        </w:rPr>
        <w:t>8. Conclusion</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This project applied a complete time series analysis pipeline to Spanish electricity demand data, addressing decomposition, stationarity testing, mode</w:t>
      </w:r>
      <w:r w:rsidRPr="008D6EA5">
        <w:rPr>
          <w:rFonts w:ascii="Times New Roman" w:hAnsi="Times New Roman" w:cs="Times New Roman"/>
          <w:color w:val="000000" w:themeColor="text1"/>
        </w:rPr>
        <w:t>l selection, and evaluation. The key findings are:</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Spanish daily electricity demand exhibits stable additive seasonality with winter and summer peaks, no long-term trend, and a clear weekly cycle.</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The series is stationary in level, confirmed by both ADF an</w:t>
      </w:r>
      <w:r w:rsidRPr="008D6EA5">
        <w:rPr>
          <w:rFonts w:ascii="Times New Roman" w:hAnsi="Times New Roman" w:cs="Times New Roman"/>
          <w:color w:val="000000" w:themeColor="text1"/>
        </w:rPr>
        <w:t>d KPSS tests, with a unit-root removed by first-order differencing.</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 xml:space="preserve">Holt-Winters Exponential Smoothing achieves the best forecast accuracy (MAPE ~3–6%), outperforming Naive, SMA, and </w:t>
      </w:r>
      <w:proofErr w:type="gramStart"/>
      <w:r w:rsidRPr="008D6EA5">
        <w:rPr>
          <w:rFonts w:ascii="Times New Roman" w:hAnsi="Times New Roman" w:cs="Times New Roman"/>
          <w:color w:val="000000" w:themeColor="text1"/>
        </w:rPr>
        <w:t>ARIMA(</w:t>
      </w:r>
      <w:proofErr w:type="gramEnd"/>
      <w:r w:rsidRPr="008D6EA5">
        <w:rPr>
          <w:rFonts w:ascii="Times New Roman" w:hAnsi="Times New Roman" w:cs="Times New Roman"/>
          <w:color w:val="000000" w:themeColor="text1"/>
        </w:rPr>
        <w:t>1,1,1) baselines.</w:t>
      </w:r>
    </w:p>
    <w:p w:rsidR="00321E88" w:rsidRPr="008D6EA5" w:rsidRDefault="00D01D65">
      <w:pPr>
        <w:pStyle w:val="ListParagraph"/>
        <w:numPr>
          <w:ilvl w:val="0"/>
          <w:numId w:val="2"/>
        </w:numPr>
        <w:spacing w:before="60" w:after="60" w:line="300" w:lineRule="auto"/>
        <w:rPr>
          <w:rFonts w:ascii="Times New Roman" w:hAnsi="Times New Roman" w:cs="Times New Roman"/>
          <w:color w:val="000000" w:themeColor="text1"/>
        </w:rPr>
      </w:pPr>
      <w:r w:rsidRPr="008D6EA5">
        <w:rPr>
          <w:rFonts w:ascii="Times New Roman" w:hAnsi="Times New Roman" w:cs="Times New Roman"/>
          <w:color w:val="000000" w:themeColor="text1"/>
        </w:rPr>
        <w:t>The principal limitation is the absence of exogen</w:t>
      </w:r>
      <w:r w:rsidRPr="008D6EA5">
        <w:rPr>
          <w:rFonts w:ascii="Times New Roman" w:hAnsi="Times New Roman" w:cs="Times New Roman"/>
          <w:color w:val="000000" w:themeColor="text1"/>
        </w:rPr>
        <w:t>ous variables (temperature, holidays) and support for multiple seasonal periods, which would be addressed in a production forecasting system using models such as Prophet or LSTM.</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The interactive dashboard developed as part of this project provides a reprod</w:t>
      </w:r>
      <w:r w:rsidRPr="008D6EA5">
        <w:rPr>
          <w:rFonts w:ascii="Times New Roman" w:hAnsi="Times New Roman" w:cs="Times New Roman"/>
          <w:color w:val="000000" w:themeColor="text1"/>
        </w:rPr>
        <w:t xml:space="preserve">ucible, </w:t>
      </w:r>
      <w:r w:rsidR="008D6EA5" w:rsidRPr="008D6EA5">
        <w:rPr>
          <w:rFonts w:ascii="Times New Roman" w:hAnsi="Times New Roman" w:cs="Times New Roman"/>
          <w:color w:val="000000" w:themeColor="text1"/>
        </w:rPr>
        <w:t>parameterized</w:t>
      </w:r>
      <w:r w:rsidRPr="008D6EA5">
        <w:rPr>
          <w:rFonts w:ascii="Times New Roman" w:hAnsi="Times New Roman" w:cs="Times New Roman"/>
          <w:color w:val="000000" w:themeColor="text1"/>
        </w:rPr>
        <w:t xml:space="preserve"> environment for exploring these findings across different series, date ranges, and model configurations.</w:t>
      </w:r>
    </w:p>
    <w:p w:rsidR="00321E88" w:rsidRPr="008D6EA5" w:rsidRDefault="00D01D65">
      <w:pPr>
        <w:rPr>
          <w:rFonts w:ascii="Times New Roman" w:hAnsi="Times New Roman" w:cs="Times New Roman"/>
          <w:color w:val="000000" w:themeColor="text1"/>
        </w:rPr>
      </w:pPr>
      <w:r w:rsidRPr="008D6EA5">
        <w:rPr>
          <w:rFonts w:ascii="Times New Roman" w:hAnsi="Times New Roman" w:cs="Times New Roman"/>
          <w:color w:val="000000" w:themeColor="text1"/>
        </w:rPr>
        <w:br w:type="page"/>
      </w:r>
    </w:p>
    <w:p w:rsidR="00321E88" w:rsidRPr="008D6EA5" w:rsidRDefault="00D01D65">
      <w:pPr>
        <w:pStyle w:val="Heading1"/>
        <w:rPr>
          <w:rFonts w:ascii="Times New Roman" w:hAnsi="Times New Roman" w:cs="Times New Roman"/>
          <w:color w:val="000000" w:themeColor="text1"/>
        </w:rPr>
      </w:pPr>
      <w:r w:rsidRPr="008D6EA5">
        <w:rPr>
          <w:rFonts w:ascii="Times New Roman" w:hAnsi="Times New Roman" w:cs="Times New Roman"/>
          <w:color w:val="000000" w:themeColor="text1"/>
        </w:rPr>
        <w:lastRenderedPageBreak/>
        <w:t>References</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Hyndman, R.J. and Athanasopoulos, G. (2021). Forecasting: Principles and Practice. 3rd ed. OTexts. Available at: htt</w:t>
      </w:r>
      <w:r w:rsidRPr="008D6EA5">
        <w:rPr>
          <w:rFonts w:ascii="Times New Roman" w:hAnsi="Times New Roman" w:cs="Times New Roman"/>
          <w:color w:val="000000" w:themeColor="text1"/>
        </w:rPr>
        <w:t>ps://otexts.com/fpp3/</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Red Electrica de Espana (2019). ESIOS — Electricity Information System. Dataset: Spain Energy Market 2014–2018. Available at: https://www.esios.ree.es/</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Box, G.E.P., Jenkins, G.M., Reinsel, G.C. and Ljung, G.M. (2015). Time Series Anal</w:t>
      </w:r>
      <w:r w:rsidRPr="008D6EA5">
        <w:rPr>
          <w:rFonts w:ascii="Times New Roman" w:hAnsi="Times New Roman" w:cs="Times New Roman"/>
          <w:color w:val="000000" w:themeColor="text1"/>
        </w:rPr>
        <w:t>ysis: Forecasting and Control. 5th ed. Wiley.</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Seabold, S. and Perktold, J. (2010). Statsmodels: Econometric and Statistical Modeling with Python. Proceedings of the 9th Python in Science Conference, pp. 92–96.</w:t>
      </w:r>
    </w:p>
    <w:p w:rsidR="00321E88" w:rsidRPr="008D6EA5" w:rsidRDefault="00D01D65">
      <w:pPr>
        <w:spacing w:before="80" w:after="120" w:line="320" w:lineRule="auto"/>
        <w:jc w:val="both"/>
        <w:rPr>
          <w:rFonts w:ascii="Times New Roman" w:hAnsi="Times New Roman" w:cs="Times New Roman"/>
          <w:color w:val="000000" w:themeColor="text1"/>
        </w:rPr>
      </w:pPr>
      <w:r w:rsidRPr="008D6EA5">
        <w:rPr>
          <w:rFonts w:ascii="Times New Roman" w:hAnsi="Times New Roman" w:cs="Times New Roman"/>
          <w:color w:val="000000" w:themeColor="text1"/>
        </w:rPr>
        <w:t>Taylor, S.J. and Letham, B. (2018). Forecastin</w:t>
      </w:r>
      <w:r w:rsidRPr="008D6EA5">
        <w:rPr>
          <w:rFonts w:ascii="Times New Roman" w:hAnsi="Times New Roman" w:cs="Times New Roman"/>
          <w:color w:val="000000" w:themeColor="text1"/>
        </w:rPr>
        <w:t>g at Scale. The American Statistician, 72(1), pp. 37–45.</w:t>
      </w:r>
    </w:p>
    <w:sectPr w:rsidR="00321E88" w:rsidRPr="008D6EA5" w:rsidSect="008D6EA5">
      <w:headerReference w:type="default" r:id="rId8"/>
      <w:footerReference w:type="default" r:id="rId9"/>
      <w:pgSz w:w="11906" w:h="16838"/>
      <w:pgMar w:top="1440" w:right="1260" w:bottom="144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1D65" w:rsidRDefault="00D01D65">
      <w:r>
        <w:separator/>
      </w:r>
    </w:p>
  </w:endnote>
  <w:endnote w:type="continuationSeparator" w:id="0">
    <w:p w:rsidR="00D01D65" w:rsidRDefault="00D01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1E88" w:rsidRDefault="00321E88">
    <w:pPr>
      <w:pBdr>
        <w:top w:val="single" w:sz="4" w:space="1" w:color="1A3C6E"/>
      </w:pBd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1D65" w:rsidRDefault="00D01D65">
      <w:r>
        <w:separator/>
      </w:r>
    </w:p>
  </w:footnote>
  <w:footnote w:type="continuationSeparator" w:id="0">
    <w:p w:rsidR="00D01D65" w:rsidRDefault="00D01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1E88" w:rsidRDefault="00321E88">
    <w:pPr>
      <w:pBdr>
        <w:bottom w:val="single" w:sz="8" w:space="1" w:color="1A3C6E"/>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97203C"/>
    <w:multiLevelType w:val="hybridMultilevel"/>
    <w:tmpl w:val="C9DEEE96"/>
    <w:lvl w:ilvl="0" w:tplc="B9382548">
      <w:start w:val="1"/>
      <w:numFmt w:val="bullet"/>
      <w:lvlText w:val="●"/>
      <w:lvlJc w:val="left"/>
      <w:pPr>
        <w:ind w:left="720" w:hanging="360"/>
      </w:pPr>
    </w:lvl>
    <w:lvl w:ilvl="1" w:tplc="8A5EE430">
      <w:start w:val="1"/>
      <w:numFmt w:val="bullet"/>
      <w:lvlText w:val="○"/>
      <w:lvlJc w:val="left"/>
      <w:pPr>
        <w:ind w:left="1440" w:hanging="360"/>
      </w:pPr>
    </w:lvl>
    <w:lvl w:ilvl="2" w:tplc="9A588678">
      <w:start w:val="1"/>
      <w:numFmt w:val="bullet"/>
      <w:lvlText w:val="■"/>
      <w:lvlJc w:val="left"/>
      <w:pPr>
        <w:ind w:left="2160" w:hanging="360"/>
      </w:pPr>
    </w:lvl>
    <w:lvl w:ilvl="3" w:tplc="2BB65232">
      <w:start w:val="1"/>
      <w:numFmt w:val="bullet"/>
      <w:lvlText w:val="●"/>
      <w:lvlJc w:val="left"/>
      <w:pPr>
        <w:ind w:left="2880" w:hanging="360"/>
      </w:pPr>
    </w:lvl>
    <w:lvl w:ilvl="4" w:tplc="A9BC1868">
      <w:start w:val="1"/>
      <w:numFmt w:val="bullet"/>
      <w:lvlText w:val="○"/>
      <w:lvlJc w:val="left"/>
      <w:pPr>
        <w:ind w:left="3600" w:hanging="360"/>
      </w:pPr>
    </w:lvl>
    <w:lvl w:ilvl="5" w:tplc="9556A3CE">
      <w:start w:val="1"/>
      <w:numFmt w:val="bullet"/>
      <w:lvlText w:val="■"/>
      <w:lvlJc w:val="left"/>
      <w:pPr>
        <w:ind w:left="4320" w:hanging="360"/>
      </w:pPr>
    </w:lvl>
    <w:lvl w:ilvl="6" w:tplc="9806C2C8">
      <w:start w:val="1"/>
      <w:numFmt w:val="bullet"/>
      <w:lvlText w:val="●"/>
      <w:lvlJc w:val="left"/>
      <w:pPr>
        <w:ind w:left="5040" w:hanging="360"/>
      </w:pPr>
    </w:lvl>
    <w:lvl w:ilvl="7" w:tplc="F80CA87C">
      <w:start w:val="1"/>
      <w:numFmt w:val="bullet"/>
      <w:lvlText w:val="●"/>
      <w:lvlJc w:val="left"/>
      <w:pPr>
        <w:ind w:left="5760" w:hanging="360"/>
      </w:pPr>
    </w:lvl>
    <w:lvl w:ilvl="8" w:tplc="3FD06ED8">
      <w:start w:val="1"/>
      <w:numFmt w:val="bullet"/>
      <w:lvlText w:val="●"/>
      <w:lvlJc w:val="left"/>
      <w:pPr>
        <w:ind w:left="6480" w:hanging="360"/>
      </w:pPr>
    </w:lvl>
  </w:abstractNum>
  <w:abstractNum w:abstractNumId="1" w15:restartNumberingAfterBreak="0">
    <w:nsid w:val="5A315A7E"/>
    <w:multiLevelType w:val="hybridMultilevel"/>
    <w:tmpl w:val="B798DFA2"/>
    <w:lvl w:ilvl="0" w:tplc="D8885718">
      <w:start w:val="1"/>
      <w:numFmt w:val="bullet"/>
      <w:lvlText w:val="•"/>
      <w:lvlJc w:val="left"/>
      <w:pPr>
        <w:ind w:left="720" w:hanging="360"/>
      </w:pPr>
    </w:lvl>
    <w:lvl w:ilvl="1" w:tplc="9D0E8B3C">
      <w:numFmt w:val="decimal"/>
      <w:lvlText w:val=""/>
      <w:lvlJc w:val="left"/>
    </w:lvl>
    <w:lvl w:ilvl="2" w:tplc="1D521780">
      <w:numFmt w:val="decimal"/>
      <w:lvlText w:val=""/>
      <w:lvlJc w:val="left"/>
    </w:lvl>
    <w:lvl w:ilvl="3" w:tplc="E7F2D5B4">
      <w:numFmt w:val="decimal"/>
      <w:lvlText w:val=""/>
      <w:lvlJc w:val="left"/>
    </w:lvl>
    <w:lvl w:ilvl="4" w:tplc="067C124A">
      <w:numFmt w:val="decimal"/>
      <w:lvlText w:val=""/>
      <w:lvlJc w:val="left"/>
    </w:lvl>
    <w:lvl w:ilvl="5" w:tplc="F11670BA">
      <w:numFmt w:val="decimal"/>
      <w:lvlText w:val=""/>
      <w:lvlJc w:val="left"/>
    </w:lvl>
    <w:lvl w:ilvl="6" w:tplc="189A2866">
      <w:numFmt w:val="decimal"/>
      <w:lvlText w:val=""/>
      <w:lvlJc w:val="left"/>
    </w:lvl>
    <w:lvl w:ilvl="7" w:tplc="321A7466">
      <w:numFmt w:val="decimal"/>
      <w:lvlText w:val=""/>
      <w:lvlJc w:val="left"/>
    </w:lvl>
    <w:lvl w:ilvl="8" w:tplc="DDA802A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E88"/>
    <w:rsid w:val="00321E88"/>
    <w:rsid w:val="008D6EA5"/>
    <w:rsid w:val="00D01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D4EFC"/>
  <w15:docId w15:val="{579FC2B8-621E-984B-8F03-C2C98100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C6E"/>
      <w:sz w:val="32"/>
      <w:szCs w:val="32"/>
    </w:rPr>
  </w:style>
  <w:style w:type="paragraph" w:styleId="Heading2">
    <w:name w:val="heading 2"/>
    <w:uiPriority w:val="9"/>
    <w:unhideWhenUsed/>
    <w:qFormat/>
    <w:pPr>
      <w:spacing w:before="28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D6EA5"/>
    <w:pPr>
      <w:tabs>
        <w:tab w:val="center" w:pos="4680"/>
        <w:tab w:val="right" w:pos="9360"/>
      </w:tabs>
    </w:pPr>
  </w:style>
  <w:style w:type="character" w:customStyle="1" w:styleId="HeaderChar">
    <w:name w:val="Header Char"/>
    <w:basedOn w:val="DefaultParagraphFont"/>
    <w:link w:val="Header"/>
    <w:uiPriority w:val="99"/>
    <w:rsid w:val="008D6EA5"/>
  </w:style>
  <w:style w:type="paragraph" w:styleId="Footer">
    <w:name w:val="footer"/>
    <w:basedOn w:val="Normal"/>
    <w:link w:val="FooterChar"/>
    <w:uiPriority w:val="99"/>
    <w:unhideWhenUsed/>
    <w:rsid w:val="008D6EA5"/>
    <w:pPr>
      <w:tabs>
        <w:tab w:val="center" w:pos="4680"/>
        <w:tab w:val="right" w:pos="9360"/>
      </w:tabs>
    </w:pPr>
  </w:style>
  <w:style w:type="character" w:customStyle="1" w:styleId="FooterChar">
    <w:name w:val="Footer Char"/>
    <w:basedOn w:val="DefaultParagraphFont"/>
    <w:link w:val="Footer"/>
    <w:uiPriority w:val="99"/>
    <w:rsid w:val="008D6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2376</Words>
  <Characters>13545</Characters>
  <Application>Microsoft Office Word</Application>
  <DocSecurity>0</DocSecurity>
  <Lines>112</Lines>
  <Paragraphs>31</Paragraphs>
  <ScaleCrop>false</ScaleCrop>
  <Company/>
  <LinksUpToDate>false</LinksUpToDate>
  <CharactersWithSpaces>15890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cp:lastPrinted>2026-03-19T17:15:00Z</cp:lastPrinted>
  <dcterms:created xsi:type="dcterms:W3CDTF">2026-03-19T17:01:00Z</dcterms:created>
  <dcterms:modified xsi:type="dcterms:W3CDTF">2026-03-22T07:22:00Z</dcterms:modified>
</cp:coreProperties>
</file>