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9271" w14:textId="27345CE1" w:rsidR="001C647E" w:rsidRDefault="00C01B21">
      <w:pPr>
        <w:tabs>
          <w:tab w:val="left" w:pos="7608"/>
        </w:tabs>
        <w:ind w:left="115"/>
        <w:rPr>
          <w:rFonts w:ascii="Times New Roman"/>
          <w:sz w:val="20"/>
        </w:rPr>
      </w:pPr>
      <w:r>
        <w:rPr>
          <w:rFonts w:ascii="Times New Roman"/>
          <w:position w:val="1"/>
          <w:sz w:val="20"/>
        </w:rPr>
        <w:tab/>
      </w:r>
    </w:p>
    <w:p w14:paraId="2F2CC944" w14:textId="77777777" w:rsidR="00614B0D" w:rsidRDefault="00A15C8F">
      <w:pPr>
        <w:spacing w:before="10"/>
        <w:ind w:left="2311" w:right="2308"/>
        <w:jc w:val="center"/>
        <w:rPr>
          <w:b/>
          <w:sz w:val="28"/>
        </w:rPr>
      </w:pPr>
      <w:r>
        <w:rPr>
          <w:b/>
          <w:sz w:val="28"/>
        </w:rPr>
        <w:t xml:space="preserve">SOLUTIONS for </w:t>
      </w:r>
      <w:r w:rsidR="002A66E0">
        <w:rPr>
          <w:b/>
          <w:sz w:val="28"/>
        </w:rPr>
        <w:t>Practical session</w:t>
      </w:r>
      <w:r>
        <w:rPr>
          <w:b/>
          <w:sz w:val="28"/>
        </w:rPr>
        <w:t>:</w:t>
      </w:r>
      <w:r w:rsidR="00C01B21">
        <w:rPr>
          <w:b/>
          <w:sz w:val="28"/>
        </w:rPr>
        <w:t xml:space="preserve"> </w:t>
      </w:r>
    </w:p>
    <w:p w14:paraId="4DE0C0E8" w14:textId="0D7DD3A3" w:rsidR="001C647E" w:rsidRDefault="00E85EA2">
      <w:pPr>
        <w:spacing w:before="10"/>
        <w:ind w:left="2311" w:right="2308"/>
        <w:jc w:val="center"/>
        <w:rPr>
          <w:b/>
          <w:sz w:val="28"/>
        </w:rPr>
      </w:pPr>
      <w:r>
        <w:rPr>
          <w:b/>
          <w:sz w:val="28"/>
        </w:rPr>
        <w:t xml:space="preserve">Causal </w:t>
      </w:r>
      <w:r w:rsidR="002A66E0">
        <w:rPr>
          <w:b/>
          <w:sz w:val="28"/>
        </w:rPr>
        <w:t>Survival Analysis</w:t>
      </w:r>
      <w:r w:rsidR="00D26222" w:rsidRPr="00D26222">
        <w:rPr>
          <w:b/>
          <w:sz w:val="28"/>
        </w:rPr>
        <w:t xml:space="preserve"> </w:t>
      </w:r>
      <w:r w:rsidR="00D26222">
        <w:rPr>
          <w:b/>
          <w:sz w:val="28"/>
        </w:rPr>
        <w:t>using Stata</w:t>
      </w:r>
    </w:p>
    <w:p w14:paraId="61253021" w14:textId="77777777" w:rsidR="001C647E" w:rsidRDefault="001C647E">
      <w:pPr>
        <w:pStyle w:val="BodyText"/>
        <w:spacing w:before="7"/>
        <w:rPr>
          <w:sz w:val="17"/>
        </w:rPr>
      </w:pPr>
    </w:p>
    <w:p w14:paraId="27B87943" w14:textId="77777777" w:rsidR="00253877" w:rsidRDefault="00253877" w:rsidP="002A66E0">
      <w:pPr>
        <w:pStyle w:val="BodyText"/>
        <w:ind w:right="198"/>
        <w:rPr>
          <w:b/>
          <w:bCs/>
        </w:rPr>
      </w:pPr>
    </w:p>
    <w:p w14:paraId="7F5497CB" w14:textId="77777777" w:rsidR="00253877" w:rsidRDefault="00253877" w:rsidP="002A66E0">
      <w:pPr>
        <w:pStyle w:val="BodyText"/>
        <w:ind w:right="198"/>
        <w:rPr>
          <w:b/>
          <w:bCs/>
        </w:rPr>
      </w:pPr>
    </w:p>
    <w:p w14:paraId="037F15DA" w14:textId="77777777" w:rsidR="00253877" w:rsidRDefault="00253877" w:rsidP="002A66E0">
      <w:pPr>
        <w:pStyle w:val="BodyText"/>
        <w:ind w:right="198"/>
        <w:rPr>
          <w:b/>
          <w:bCs/>
        </w:rPr>
      </w:pPr>
    </w:p>
    <w:p w14:paraId="17465074" w14:textId="6B5052A3" w:rsidR="00165F92" w:rsidRDefault="00165F92" w:rsidP="002A66E0">
      <w:pPr>
        <w:pStyle w:val="BodyText"/>
        <w:ind w:right="198"/>
        <w:rPr>
          <w:b/>
          <w:bCs/>
        </w:rPr>
      </w:pPr>
      <w:r w:rsidRPr="00165F92">
        <w:rPr>
          <w:b/>
          <w:bCs/>
        </w:rPr>
        <w:t xml:space="preserve">Part A: Estimate hazard ratios for ITT and PP </w:t>
      </w:r>
      <w:proofErr w:type="gramStart"/>
      <w:r w:rsidRPr="00165F92">
        <w:rPr>
          <w:b/>
          <w:bCs/>
        </w:rPr>
        <w:t>analysis</w:t>
      </w:r>
      <w:proofErr w:type="gramEnd"/>
    </w:p>
    <w:p w14:paraId="12F3435D" w14:textId="689383A6" w:rsidR="007410D8" w:rsidRDefault="007410D8" w:rsidP="002A66E0">
      <w:pPr>
        <w:pStyle w:val="BodyText"/>
        <w:ind w:right="198"/>
        <w:rPr>
          <w:b/>
          <w:bCs/>
        </w:rPr>
      </w:pPr>
    </w:p>
    <w:p w14:paraId="7E2E5573" w14:textId="77777777" w:rsidR="00D26222" w:rsidRDefault="00D26222" w:rsidP="002A66E0">
      <w:pPr>
        <w:pStyle w:val="BodyText"/>
        <w:ind w:right="198"/>
        <w:rPr>
          <w:b/>
          <w:bCs/>
        </w:rPr>
      </w:pPr>
    </w:p>
    <w:p w14:paraId="5E1F1181" w14:textId="45EBD1E1" w:rsidR="007410D8" w:rsidRPr="007410D8" w:rsidRDefault="007410D8" w:rsidP="002A66E0">
      <w:pPr>
        <w:pStyle w:val="BodyText"/>
        <w:ind w:right="198"/>
        <w:rPr>
          <w:i/>
          <w:iCs/>
        </w:rPr>
      </w:pPr>
      <w:r w:rsidRPr="007410D8">
        <w:rPr>
          <w:i/>
          <w:iCs/>
        </w:rPr>
        <w:t xml:space="preserve">Use the script “Final </w:t>
      </w:r>
      <w:proofErr w:type="spellStart"/>
      <w:r w:rsidRPr="007410D8">
        <w:rPr>
          <w:i/>
          <w:iCs/>
        </w:rPr>
        <w:t>dofile</w:t>
      </w:r>
      <w:proofErr w:type="spellEnd"/>
      <w:r w:rsidRPr="007410D8">
        <w:rPr>
          <w:i/>
          <w:iCs/>
        </w:rPr>
        <w:t xml:space="preserve"> (Hazard Ratios for ITT and PP analysis).</w:t>
      </w:r>
      <w:proofErr w:type="gramStart"/>
      <w:r w:rsidRPr="007410D8">
        <w:rPr>
          <w:i/>
          <w:iCs/>
        </w:rPr>
        <w:t>do”</w:t>
      </w:r>
      <w:proofErr w:type="gramEnd"/>
    </w:p>
    <w:p w14:paraId="4E99CBDC" w14:textId="77777777" w:rsidR="00165F92" w:rsidRPr="002A66E0" w:rsidRDefault="00165F92" w:rsidP="002A66E0">
      <w:pPr>
        <w:pStyle w:val="BodyText"/>
        <w:ind w:right="198"/>
      </w:pPr>
    </w:p>
    <w:p w14:paraId="02851FF7" w14:textId="09BF909F" w:rsidR="00F65785" w:rsidRDefault="00F65785" w:rsidP="004A36EB">
      <w:pPr>
        <w:pStyle w:val="BodyText"/>
        <w:numPr>
          <w:ilvl w:val="0"/>
          <w:numId w:val="4"/>
        </w:numPr>
        <w:ind w:right="198"/>
      </w:pPr>
      <w:r>
        <w:t xml:space="preserve">See Stata </w:t>
      </w:r>
      <w:proofErr w:type="gramStart"/>
      <w:r>
        <w:t>script</w:t>
      </w:r>
      <w:proofErr w:type="gramEnd"/>
    </w:p>
    <w:p w14:paraId="151BCD93" w14:textId="77777777" w:rsidR="00F65785" w:rsidRDefault="00F65785" w:rsidP="00F65785">
      <w:pPr>
        <w:pStyle w:val="BodyText"/>
        <w:ind w:left="720" w:right="198"/>
      </w:pPr>
    </w:p>
    <w:p w14:paraId="4209EB85" w14:textId="01361C8E" w:rsidR="001C647E" w:rsidRDefault="0069289D" w:rsidP="004A36EB">
      <w:pPr>
        <w:pStyle w:val="BodyText"/>
        <w:numPr>
          <w:ilvl w:val="0"/>
          <w:numId w:val="4"/>
        </w:numPr>
        <w:ind w:right="198"/>
      </w:pPr>
      <w:r>
        <w:t xml:space="preserve">See </w:t>
      </w:r>
      <w:r w:rsidR="00F65785">
        <w:t xml:space="preserve">Stata script and </w:t>
      </w:r>
      <w:r>
        <w:t xml:space="preserve">Table in question </w:t>
      </w:r>
      <w:proofErr w:type="gramStart"/>
      <w:r w:rsidR="00F65785">
        <w:t>8</w:t>
      </w:r>
      <w:proofErr w:type="gramEnd"/>
    </w:p>
    <w:p w14:paraId="30DFB758" w14:textId="77777777" w:rsidR="00C01B21" w:rsidRPr="002A66E0" w:rsidRDefault="00C01B21">
      <w:pPr>
        <w:pStyle w:val="BodyText"/>
      </w:pPr>
    </w:p>
    <w:p w14:paraId="1CEAE121" w14:textId="49D1B981" w:rsidR="0069289D" w:rsidRDefault="0069289D" w:rsidP="0069289D">
      <w:pPr>
        <w:pStyle w:val="BodyText"/>
        <w:numPr>
          <w:ilvl w:val="0"/>
          <w:numId w:val="4"/>
        </w:numPr>
        <w:ind w:right="198"/>
      </w:pPr>
      <w:r>
        <w:t xml:space="preserve">See </w:t>
      </w:r>
      <w:r w:rsidR="00F65785">
        <w:t xml:space="preserve">Stata script and </w:t>
      </w:r>
      <w:r>
        <w:t xml:space="preserve">Table in question </w:t>
      </w:r>
      <w:proofErr w:type="gramStart"/>
      <w:r w:rsidR="00F65785">
        <w:t>8</w:t>
      </w:r>
      <w:proofErr w:type="gramEnd"/>
    </w:p>
    <w:p w14:paraId="118986AF" w14:textId="6CA0150C" w:rsidR="002A66E0" w:rsidRPr="002A66E0" w:rsidRDefault="002A66E0" w:rsidP="00165F92">
      <w:pPr>
        <w:pStyle w:val="BodyText"/>
      </w:pPr>
    </w:p>
    <w:p w14:paraId="79CB6562" w14:textId="1145F702" w:rsidR="0069289D" w:rsidRDefault="0069289D" w:rsidP="0069289D">
      <w:pPr>
        <w:pStyle w:val="BodyText"/>
        <w:numPr>
          <w:ilvl w:val="0"/>
          <w:numId w:val="4"/>
        </w:numPr>
        <w:ind w:right="198"/>
      </w:pPr>
      <w:r>
        <w:t xml:space="preserve">See </w:t>
      </w:r>
      <w:r w:rsidR="00F65785">
        <w:t xml:space="preserve">Stata script and </w:t>
      </w:r>
      <w:r>
        <w:t xml:space="preserve">Table in question </w:t>
      </w:r>
      <w:proofErr w:type="gramStart"/>
      <w:r w:rsidR="00F65785">
        <w:t>8</w:t>
      </w:r>
      <w:proofErr w:type="gramEnd"/>
    </w:p>
    <w:p w14:paraId="43B775DC" w14:textId="1C90DF35" w:rsidR="00C01B21" w:rsidRPr="00591DE2" w:rsidRDefault="0069289D" w:rsidP="004A36EB">
      <w:pPr>
        <w:pStyle w:val="BodyText"/>
        <w:numPr>
          <w:ilvl w:val="0"/>
          <w:numId w:val="4"/>
        </w:numPr>
        <w:spacing w:before="243"/>
      </w:pPr>
      <w:r w:rsidRPr="00591DE2">
        <w:t xml:space="preserve">Results between question 1 and question 2 should be very similar, as the </w:t>
      </w:r>
      <w:proofErr w:type="spellStart"/>
      <w:r w:rsidRPr="00591DE2">
        <w:t>estimand</w:t>
      </w:r>
      <w:proofErr w:type="spellEnd"/>
      <w:r w:rsidRPr="00591DE2">
        <w:t xml:space="preserve"> is the same (conditional Hazard ratios). If we split the follow-up time into relatively short periods, then pooled logistic regression estimates are almost the same </w:t>
      </w:r>
      <w:proofErr w:type="gramStart"/>
      <w:r w:rsidRPr="00591DE2">
        <w:t>with</w:t>
      </w:r>
      <w:proofErr w:type="gramEnd"/>
      <w:r w:rsidRPr="00591DE2">
        <w:t xml:space="preserve"> the Cox regression estimates</w:t>
      </w:r>
      <w:r w:rsidR="00591DE2" w:rsidRPr="00591DE2">
        <w:t xml:space="preserve"> (the shorter the periods, the closer the results will be). Usually</w:t>
      </w:r>
      <w:r w:rsidR="00BB214F">
        <w:t>,</w:t>
      </w:r>
      <w:r w:rsidR="00591DE2" w:rsidRPr="00591DE2">
        <w:t xml:space="preserve"> you have to split the follow-up time into &gt;5 periods, but even with 5 periods, our estimates are </w:t>
      </w:r>
      <w:r w:rsidR="00DD762F">
        <w:t xml:space="preserve">very </w:t>
      </w:r>
      <w:r w:rsidR="00591DE2" w:rsidRPr="00591DE2">
        <w:t>close</w:t>
      </w:r>
      <w:r w:rsidR="00BB214F">
        <w:t xml:space="preserve"> in this </w:t>
      </w:r>
      <w:proofErr w:type="gramStart"/>
      <w:r w:rsidR="00BB214F">
        <w:t>example</w:t>
      </w:r>
      <w:proofErr w:type="gramEnd"/>
    </w:p>
    <w:p w14:paraId="5C2DF69C" w14:textId="77777777" w:rsidR="00953EBD" w:rsidRDefault="00953EBD" w:rsidP="0069289D">
      <w:pPr>
        <w:pStyle w:val="BodyText"/>
        <w:spacing w:before="243"/>
        <w:ind w:left="720"/>
      </w:pPr>
    </w:p>
    <w:p w14:paraId="6D80BD75" w14:textId="21640623" w:rsidR="0069289D" w:rsidRPr="00591DE2" w:rsidRDefault="00591DE2" w:rsidP="0069289D">
      <w:pPr>
        <w:pStyle w:val="BodyText"/>
        <w:spacing w:before="243"/>
        <w:ind w:left="720"/>
      </w:pPr>
      <w:r>
        <w:t xml:space="preserve">The difference between </w:t>
      </w:r>
      <w:r w:rsidR="0069289D" w:rsidRPr="00591DE2">
        <w:t xml:space="preserve">question 2 and question 3 </w:t>
      </w:r>
      <w:r>
        <w:t xml:space="preserve">is that the </w:t>
      </w:r>
      <w:proofErr w:type="spellStart"/>
      <w:r>
        <w:t>estimand</w:t>
      </w:r>
      <w:proofErr w:type="spellEnd"/>
      <w:r>
        <w:t xml:space="preserve"> is different (conditional hazard ratio in question 2 vs</w:t>
      </w:r>
      <w:r w:rsidRPr="00591DE2">
        <w:t xml:space="preserve"> </w:t>
      </w:r>
      <w:proofErr w:type="spellStart"/>
      <w:r>
        <w:t>margnal</w:t>
      </w:r>
      <w:proofErr w:type="spellEnd"/>
      <w:r>
        <w:t xml:space="preserve"> hazard ratio in question 3). However, we do expect that the findings will not differ </w:t>
      </w:r>
      <w:proofErr w:type="gramStart"/>
      <w:r>
        <w:t>materially</w:t>
      </w:r>
      <w:proofErr w:type="gramEnd"/>
    </w:p>
    <w:p w14:paraId="0CF826AC" w14:textId="77777777" w:rsidR="0069289D" w:rsidRDefault="0069289D" w:rsidP="0069289D">
      <w:pPr>
        <w:pStyle w:val="BodyText"/>
        <w:spacing w:before="243"/>
        <w:ind w:left="720"/>
        <w:rPr>
          <w:u w:val="single"/>
        </w:rPr>
      </w:pPr>
    </w:p>
    <w:p w14:paraId="7AF153FA" w14:textId="77777777" w:rsidR="004A36EB" w:rsidRDefault="004A36EB" w:rsidP="004A36EB">
      <w:pPr>
        <w:pStyle w:val="BodyText"/>
        <w:ind w:left="720" w:right="198"/>
      </w:pPr>
    </w:p>
    <w:p w14:paraId="6B38D837" w14:textId="3584A2E0" w:rsidR="00874600" w:rsidRDefault="0069289D" w:rsidP="00591DE2">
      <w:pPr>
        <w:pStyle w:val="BodyText"/>
        <w:numPr>
          <w:ilvl w:val="0"/>
          <w:numId w:val="4"/>
        </w:numPr>
        <w:ind w:right="198"/>
      </w:pPr>
      <w:r>
        <w:t xml:space="preserve">See </w:t>
      </w:r>
      <w:r w:rsidR="00591DE2">
        <w:t>Stata script and T</w:t>
      </w:r>
      <w:r>
        <w:t xml:space="preserve">able in question </w:t>
      </w:r>
      <w:proofErr w:type="gramStart"/>
      <w:r w:rsidR="00A1796F">
        <w:t>8</w:t>
      </w:r>
      <w:proofErr w:type="gramEnd"/>
    </w:p>
    <w:p w14:paraId="3A1B243E" w14:textId="77777777" w:rsidR="00953EBD" w:rsidRPr="00591DE2" w:rsidRDefault="00953EBD" w:rsidP="00953EBD">
      <w:pPr>
        <w:pStyle w:val="BodyText"/>
        <w:ind w:left="720" w:right="198"/>
      </w:pPr>
    </w:p>
    <w:p w14:paraId="6BAFA4B4" w14:textId="548AC873" w:rsidR="004A36EB" w:rsidRPr="00591DE2" w:rsidRDefault="004A36EB" w:rsidP="004A36EB">
      <w:pPr>
        <w:pStyle w:val="BodyText"/>
        <w:numPr>
          <w:ilvl w:val="0"/>
          <w:numId w:val="4"/>
        </w:numPr>
        <w:spacing w:before="243"/>
      </w:pPr>
      <w:r w:rsidRPr="00591DE2">
        <w:t>What is the difference in the interpretation of the results of questions 3 and 5?</w:t>
      </w:r>
    </w:p>
    <w:p w14:paraId="276E7FAB" w14:textId="783BFFD2" w:rsidR="00591DE2" w:rsidRPr="00591DE2" w:rsidRDefault="00591DE2" w:rsidP="00253877">
      <w:pPr>
        <w:pStyle w:val="BodyText"/>
        <w:spacing w:before="243"/>
        <w:ind w:left="720"/>
      </w:pPr>
      <w:r w:rsidRPr="00591DE2">
        <w:t xml:space="preserve">The </w:t>
      </w:r>
      <w:proofErr w:type="spellStart"/>
      <w:r w:rsidRPr="00591DE2">
        <w:t>estimands</w:t>
      </w:r>
      <w:proofErr w:type="spellEnd"/>
      <w:r w:rsidRPr="00591DE2">
        <w:t xml:space="preserve"> are </w:t>
      </w:r>
      <w:proofErr w:type="gramStart"/>
      <w:r w:rsidRPr="00591DE2">
        <w:t>different</w:t>
      </w:r>
      <w:proofErr w:type="gramEnd"/>
    </w:p>
    <w:p w14:paraId="5973D2DE" w14:textId="6D591FCD" w:rsidR="00253877" w:rsidRPr="00591DE2" w:rsidRDefault="00591DE2" w:rsidP="00253877">
      <w:pPr>
        <w:pStyle w:val="BodyText"/>
        <w:spacing w:before="243"/>
        <w:ind w:left="720"/>
      </w:pPr>
      <w:r>
        <w:t>In Q</w:t>
      </w:r>
      <w:r w:rsidRPr="00591DE2">
        <w:t>uestion 3</w:t>
      </w:r>
      <w:r w:rsidR="009954D7">
        <w:t>,</w:t>
      </w:r>
      <w:r w:rsidRPr="00591DE2">
        <w:t xml:space="preserve"> </w:t>
      </w:r>
      <w:r>
        <w:t>we estimate the HR for the</w:t>
      </w:r>
      <w:r w:rsidRPr="00591DE2">
        <w:t xml:space="preserve"> </w:t>
      </w:r>
      <w:r>
        <w:t xml:space="preserve">(observational analogue of the) </w:t>
      </w:r>
      <w:r w:rsidRPr="00591DE2">
        <w:t>ITT analysis</w:t>
      </w:r>
      <w:r>
        <w:t xml:space="preserve">, </w:t>
      </w:r>
      <w:proofErr w:type="gramStart"/>
      <w:r>
        <w:t>i.e.</w:t>
      </w:r>
      <w:proofErr w:type="gramEnd"/>
      <w:r>
        <w:t xml:space="preserve"> what is the effect of initiating vs not initiating treatment on </w:t>
      </w:r>
      <w:r w:rsidR="009954D7">
        <w:t>our outcome</w:t>
      </w:r>
    </w:p>
    <w:p w14:paraId="7C3F5583" w14:textId="3A42D2C8" w:rsidR="009954D7" w:rsidRPr="00591DE2" w:rsidRDefault="009954D7" w:rsidP="009954D7">
      <w:pPr>
        <w:pStyle w:val="BodyText"/>
        <w:spacing w:before="243"/>
        <w:ind w:left="720"/>
      </w:pPr>
      <w:r>
        <w:t>In Q</w:t>
      </w:r>
      <w:r w:rsidRPr="00591DE2">
        <w:t xml:space="preserve">uestion </w:t>
      </w:r>
      <w:r>
        <w:t>5,</w:t>
      </w:r>
      <w:r w:rsidRPr="00591DE2">
        <w:t xml:space="preserve"> </w:t>
      </w:r>
      <w:r>
        <w:t>we estimate the HR for the</w:t>
      </w:r>
      <w:r w:rsidRPr="00591DE2">
        <w:t xml:space="preserve"> </w:t>
      </w:r>
      <w:r>
        <w:t>(observational analogue of the) PP</w:t>
      </w:r>
      <w:r w:rsidRPr="00591DE2">
        <w:t xml:space="preserve"> analysis</w:t>
      </w:r>
      <w:r>
        <w:t xml:space="preserve">, </w:t>
      </w:r>
      <w:proofErr w:type="gramStart"/>
      <w:r>
        <w:t>i.e.</w:t>
      </w:r>
      <w:proofErr w:type="gramEnd"/>
      <w:r>
        <w:t xml:space="preserve"> what is the effect of adhering vs not adhering in treatment on our outcome</w:t>
      </w:r>
    </w:p>
    <w:p w14:paraId="28E13E38" w14:textId="529112B7" w:rsidR="00253877" w:rsidRDefault="00253877" w:rsidP="00253877">
      <w:pPr>
        <w:pStyle w:val="BodyText"/>
        <w:spacing w:before="243"/>
        <w:ind w:left="720"/>
      </w:pPr>
    </w:p>
    <w:p w14:paraId="4B124C70" w14:textId="56F8FBD0" w:rsidR="004A36EB" w:rsidRPr="00591DE2" w:rsidRDefault="004A36EB" w:rsidP="004A36EB">
      <w:pPr>
        <w:pStyle w:val="BodyText"/>
        <w:numPr>
          <w:ilvl w:val="0"/>
          <w:numId w:val="4"/>
        </w:numPr>
        <w:spacing w:before="243"/>
      </w:pPr>
      <w:proofErr w:type="spellStart"/>
      <w:r w:rsidRPr="00591DE2">
        <w:t>Summarise</w:t>
      </w:r>
      <w:proofErr w:type="spellEnd"/>
      <w:r w:rsidRPr="00591DE2">
        <w:t xml:space="preserve"> your findings in the following </w:t>
      </w:r>
      <w:proofErr w:type="gramStart"/>
      <w:r w:rsidRPr="00591DE2">
        <w:t>table</w:t>
      </w:r>
      <w:proofErr w:type="gramEnd"/>
    </w:p>
    <w:p w14:paraId="3C934889" w14:textId="59720D39" w:rsidR="004A36EB" w:rsidRDefault="004A36EB" w:rsidP="004A36EB">
      <w:pPr>
        <w:pStyle w:val="BodyText"/>
        <w:spacing w:before="243"/>
      </w:pPr>
      <w:r w:rsidRPr="004A36EB">
        <w:lastRenderedPageBreak/>
        <w:t>Table</w:t>
      </w:r>
      <w:r>
        <w:t>: Hazard ratios of the ITT and PP analysis</w:t>
      </w:r>
    </w:p>
    <w:tbl>
      <w:tblPr>
        <w:tblStyle w:val="TableGrid"/>
        <w:tblW w:w="0" w:type="auto"/>
        <w:tblLook w:val="04A0" w:firstRow="1" w:lastRow="0" w:firstColumn="1" w:lastColumn="0" w:noHBand="0" w:noVBand="1"/>
      </w:tblPr>
      <w:tblGrid>
        <w:gridCol w:w="6941"/>
        <w:gridCol w:w="2309"/>
      </w:tblGrid>
      <w:tr w:rsidR="007410D8" w14:paraId="22056FCA" w14:textId="77777777" w:rsidTr="007410D8">
        <w:tc>
          <w:tcPr>
            <w:tcW w:w="6941" w:type="dxa"/>
          </w:tcPr>
          <w:p w14:paraId="60B9EC43" w14:textId="77777777" w:rsidR="007410D8" w:rsidRDefault="007410D8" w:rsidP="004A36EB">
            <w:pPr>
              <w:pStyle w:val="BodyText"/>
              <w:spacing w:before="243"/>
            </w:pPr>
          </w:p>
        </w:tc>
        <w:tc>
          <w:tcPr>
            <w:tcW w:w="2309" w:type="dxa"/>
          </w:tcPr>
          <w:p w14:paraId="57A9A400" w14:textId="2B896CBD" w:rsidR="007410D8" w:rsidRDefault="007410D8" w:rsidP="004A36EB">
            <w:pPr>
              <w:pStyle w:val="BodyText"/>
              <w:spacing w:before="243"/>
            </w:pPr>
            <w:r>
              <w:t>HR (95% CI)</w:t>
            </w:r>
          </w:p>
        </w:tc>
      </w:tr>
      <w:tr w:rsidR="00F65785" w14:paraId="300D7E13" w14:textId="77777777" w:rsidTr="007410D8">
        <w:tc>
          <w:tcPr>
            <w:tcW w:w="6941" w:type="dxa"/>
          </w:tcPr>
          <w:p w14:paraId="459E5F6A" w14:textId="6D7BC932" w:rsidR="00F65785" w:rsidRDefault="00F65785" w:rsidP="00F65785">
            <w:pPr>
              <w:pStyle w:val="BodyText"/>
              <w:spacing w:before="243"/>
            </w:pPr>
            <w:r>
              <w:t>Effect of initiating treatment A on Y using Cox regression and adjusting for baseline confounders in the outcome model for ITT analysis (Q2)</w:t>
            </w:r>
          </w:p>
        </w:tc>
        <w:tc>
          <w:tcPr>
            <w:tcW w:w="2309" w:type="dxa"/>
          </w:tcPr>
          <w:p w14:paraId="67BF46D6" w14:textId="28452769" w:rsidR="00F65785" w:rsidRDefault="00F65785" w:rsidP="00F65785">
            <w:pPr>
              <w:pStyle w:val="BodyText"/>
              <w:spacing w:before="243"/>
            </w:pPr>
            <w:r>
              <w:t>1.04 (0.94-1.15)</w:t>
            </w:r>
          </w:p>
        </w:tc>
      </w:tr>
      <w:tr w:rsidR="00F65785" w14:paraId="4C67F642" w14:textId="77777777" w:rsidTr="007410D8">
        <w:tc>
          <w:tcPr>
            <w:tcW w:w="6941" w:type="dxa"/>
          </w:tcPr>
          <w:p w14:paraId="10AA5BD2" w14:textId="49D4218E" w:rsidR="00F65785" w:rsidRDefault="00F65785" w:rsidP="00F65785">
            <w:pPr>
              <w:pStyle w:val="BodyText"/>
              <w:spacing w:before="243"/>
            </w:pPr>
            <w:r>
              <w:t>Effect of initiating treatment A on Y using pooled logistic regression and adjusting for baseline confounders in the outcome model for ITT analysis (Q3)</w:t>
            </w:r>
          </w:p>
        </w:tc>
        <w:tc>
          <w:tcPr>
            <w:tcW w:w="2309" w:type="dxa"/>
          </w:tcPr>
          <w:p w14:paraId="7291549D" w14:textId="157EE503" w:rsidR="00F65785" w:rsidRDefault="00F65785" w:rsidP="00F65785">
            <w:pPr>
              <w:pStyle w:val="BodyText"/>
              <w:spacing w:before="243"/>
            </w:pPr>
            <w:r>
              <w:t>1.04 (0.94-1.16)</w:t>
            </w:r>
          </w:p>
        </w:tc>
      </w:tr>
      <w:tr w:rsidR="00F65785" w14:paraId="0F12CCE9" w14:textId="77777777" w:rsidTr="007410D8">
        <w:tc>
          <w:tcPr>
            <w:tcW w:w="6941" w:type="dxa"/>
          </w:tcPr>
          <w:p w14:paraId="4B5F191E" w14:textId="4285B7D9" w:rsidR="00F65785" w:rsidRDefault="00F65785" w:rsidP="00F65785">
            <w:pPr>
              <w:pStyle w:val="BodyText"/>
              <w:ind w:right="198"/>
            </w:pPr>
            <w:r>
              <w:t xml:space="preserve">Effect of initiating treatment A on Y using pooled logistic regression and adjusting for baseline confounders through </w:t>
            </w:r>
            <w:proofErr w:type="spellStart"/>
            <w:r>
              <w:t>unstabilised</w:t>
            </w:r>
            <w:proofErr w:type="spellEnd"/>
            <w:r>
              <w:t xml:space="preserve"> IPW for the intention-to-treat (ITT) analysis (Q4)</w:t>
            </w:r>
          </w:p>
        </w:tc>
        <w:tc>
          <w:tcPr>
            <w:tcW w:w="2309" w:type="dxa"/>
          </w:tcPr>
          <w:p w14:paraId="1A537742" w14:textId="2331DDA7" w:rsidR="00F65785" w:rsidRDefault="00F65785" w:rsidP="00F65785">
            <w:pPr>
              <w:pStyle w:val="BodyText"/>
              <w:spacing w:before="243"/>
            </w:pPr>
            <w:r>
              <w:t>1.04 (0.94-1.1</w:t>
            </w:r>
            <w:r w:rsidR="00D809BA">
              <w:t>6</w:t>
            </w:r>
            <w:r>
              <w:t>)</w:t>
            </w:r>
          </w:p>
        </w:tc>
      </w:tr>
      <w:tr w:rsidR="00F65785" w14:paraId="7E791E12" w14:textId="77777777" w:rsidTr="007410D8">
        <w:tc>
          <w:tcPr>
            <w:tcW w:w="6941" w:type="dxa"/>
          </w:tcPr>
          <w:p w14:paraId="7F608A3E" w14:textId="36BAAEE1" w:rsidR="00F65785" w:rsidRDefault="00F65785" w:rsidP="00F65785">
            <w:pPr>
              <w:pStyle w:val="BodyText"/>
              <w:spacing w:before="243"/>
            </w:pPr>
            <w:r>
              <w:t xml:space="preserve">Effect of adhering on treatment A on Y using pooled logistic regression for the per-protocol (PP) analysis using </w:t>
            </w:r>
            <w:proofErr w:type="spellStart"/>
            <w:r>
              <w:t>unstabilised</w:t>
            </w:r>
            <w:proofErr w:type="spellEnd"/>
            <w:r>
              <w:t xml:space="preserve"> inverse probability of adherence weights for adherence (Q6)</w:t>
            </w:r>
          </w:p>
        </w:tc>
        <w:tc>
          <w:tcPr>
            <w:tcW w:w="2309" w:type="dxa"/>
          </w:tcPr>
          <w:p w14:paraId="35A46310" w14:textId="6C900116" w:rsidR="00F65785" w:rsidRDefault="00F65785" w:rsidP="00F65785">
            <w:pPr>
              <w:pStyle w:val="BodyText"/>
              <w:spacing w:before="243"/>
            </w:pPr>
            <w:r>
              <w:t>0.93 (0.77-1.12)</w:t>
            </w:r>
          </w:p>
        </w:tc>
      </w:tr>
    </w:tbl>
    <w:p w14:paraId="077226C4" w14:textId="77777777" w:rsidR="004A36EB" w:rsidRPr="004A36EB" w:rsidRDefault="004A36EB" w:rsidP="004A36EB">
      <w:pPr>
        <w:pStyle w:val="BodyText"/>
        <w:spacing w:before="243"/>
      </w:pPr>
    </w:p>
    <w:p w14:paraId="5F07F619" w14:textId="77777777" w:rsidR="00953EBD" w:rsidRDefault="00953EBD" w:rsidP="00072C0F">
      <w:pPr>
        <w:pStyle w:val="BodyText"/>
        <w:ind w:right="198"/>
        <w:rPr>
          <w:b/>
          <w:bCs/>
        </w:rPr>
      </w:pPr>
    </w:p>
    <w:p w14:paraId="6FBC60DC" w14:textId="77777777" w:rsidR="00953EBD" w:rsidRDefault="00953EBD" w:rsidP="00072C0F">
      <w:pPr>
        <w:pStyle w:val="BodyText"/>
        <w:ind w:right="198"/>
        <w:rPr>
          <w:b/>
          <w:bCs/>
        </w:rPr>
      </w:pPr>
    </w:p>
    <w:p w14:paraId="38E0D207" w14:textId="77777777" w:rsidR="00953EBD" w:rsidRDefault="00953EBD" w:rsidP="00072C0F">
      <w:pPr>
        <w:pStyle w:val="BodyText"/>
        <w:ind w:right="198"/>
        <w:rPr>
          <w:b/>
          <w:bCs/>
        </w:rPr>
      </w:pPr>
    </w:p>
    <w:p w14:paraId="1C479C42" w14:textId="77777777" w:rsidR="00953EBD" w:rsidRDefault="00953EBD" w:rsidP="00072C0F">
      <w:pPr>
        <w:pStyle w:val="BodyText"/>
        <w:ind w:right="198"/>
        <w:rPr>
          <w:b/>
          <w:bCs/>
        </w:rPr>
      </w:pPr>
    </w:p>
    <w:p w14:paraId="6057B1AC" w14:textId="25507FE8" w:rsidR="00072C0F" w:rsidRDefault="00953EBD" w:rsidP="00072C0F">
      <w:pPr>
        <w:pStyle w:val="BodyText"/>
        <w:ind w:right="198"/>
        <w:rPr>
          <w:b/>
          <w:bCs/>
        </w:rPr>
      </w:pPr>
      <w:r>
        <w:rPr>
          <w:b/>
          <w:bCs/>
        </w:rPr>
        <w:t>P</w:t>
      </w:r>
      <w:r w:rsidR="00072C0F" w:rsidRPr="00165F92">
        <w:rPr>
          <w:b/>
          <w:bCs/>
        </w:rPr>
        <w:t xml:space="preserve">art </w:t>
      </w:r>
      <w:r w:rsidR="00072C0F">
        <w:rPr>
          <w:b/>
          <w:bCs/>
        </w:rPr>
        <w:t>B</w:t>
      </w:r>
      <w:r w:rsidR="00072C0F" w:rsidRPr="00165F92">
        <w:rPr>
          <w:b/>
          <w:bCs/>
        </w:rPr>
        <w:t xml:space="preserve">: Estimate </w:t>
      </w:r>
      <w:r w:rsidR="00072C0F">
        <w:rPr>
          <w:b/>
          <w:bCs/>
        </w:rPr>
        <w:t xml:space="preserve">standardized risk </w:t>
      </w:r>
      <w:proofErr w:type="gramStart"/>
      <w:r w:rsidR="00072C0F">
        <w:rPr>
          <w:b/>
          <w:bCs/>
        </w:rPr>
        <w:t>curves</w:t>
      </w:r>
      <w:proofErr w:type="gramEnd"/>
    </w:p>
    <w:p w14:paraId="1F47F0EC" w14:textId="77777777" w:rsidR="00072C0F" w:rsidRDefault="00072C0F" w:rsidP="00072C0F">
      <w:pPr>
        <w:pStyle w:val="BodyText"/>
        <w:ind w:right="198"/>
        <w:rPr>
          <w:b/>
          <w:bCs/>
        </w:rPr>
      </w:pPr>
    </w:p>
    <w:p w14:paraId="25F2549E" w14:textId="21DBD90B" w:rsidR="00072C0F" w:rsidRPr="007410D8" w:rsidRDefault="00072C0F" w:rsidP="00072C0F">
      <w:pPr>
        <w:pStyle w:val="BodyText"/>
        <w:ind w:right="198"/>
        <w:rPr>
          <w:i/>
          <w:iCs/>
        </w:rPr>
      </w:pPr>
      <w:r w:rsidRPr="007410D8">
        <w:rPr>
          <w:i/>
          <w:iCs/>
        </w:rPr>
        <w:t>Use the script “</w:t>
      </w:r>
      <w:r w:rsidR="00D82CFC" w:rsidRPr="00D82CFC">
        <w:rPr>
          <w:i/>
          <w:iCs/>
        </w:rPr>
        <w:t xml:space="preserve">Final </w:t>
      </w:r>
      <w:proofErr w:type="spellStart"/>
      <w:r w:rsidR="00D82CFC" w:rsidRPr="00D82CFC">
        <w:rPr>
          <w:i/>
          <w:iCs/>
        </w:rPr>
        <w:t>dofile</w:t>
      </w:r>
      <w:proofErr w:type="spellEnd"/>
      <w:r w:rsidR="00D82CFC" w:rsidRPr="00D82CFC">
        <w:rPr>
          <w:i/>
          <w:iCs/>
        </w:rPr>
        <w:t xml:space="preserve"> (</w:t>
      </w:r>
      <w:proofErr w:type="spellStart"/>
      <w:r w:rsidR="00D82CFC" w:rsidRPr="00D82CFC">
        <w:rPr>
          <w:i/>
          <w:iCs/>
        </w:rPr>
        <w:t>Standardised</w:t>
      </w:r>
      <w:proofErr w:type="spellEnd"/>
      <w:r w:rsidR="00D82CFC" w:rsidRPr="00D82CFC">
        <w:rPr>
          <w:i/>
          <w:iCs/>
        </w:rPr>
        <w:t xml:space="preserve"> risk curves)</w:t>
      </w:r>
      <w:r w:rsidRPr="007410D8">
        <w:rPr>
          <w:i/>
          <w:iCs/>
        </w:rPr>
        <w:t>.</w:t>
      </w:r>
      <w:proofErr w:type="gramStart"/>
      <w:r w:rsidRPr="007410D8">
        <w:rPr>
          <w:i/>
          <w:iCs/>
        </w:rPr>
        <w:t>do”</w:t>
      </w:r>
      <w:proofErr w:type="gramEnd"/>
    </w:p>
    <w:p w14:paraId="7031554E" w14:textId="31FB9EF4" w:rsidR="00C01B21" w:rsidRDefault="000F1EBE">
      <w:pPr>
        <w:pStyle w:val="BodyText"/>
        <w:spacing w:before="243"/>
        <w:ind w:left="120"/>
        <w:rPr>
          <w:i/>
          <w:iCs/>
        </w:rPr>
      </w:pPr>
      <w:r>
        <w:rPr>
          <w:i/>
          <w:iCs/>
          <w:u w:val="single"/>
        </w:rPr>
        <w:t>In this script, w</w:t>
      </w:r>
      <w:r w:rsidRPr="000F1EBE">
        <w:rPr>
          <w:i/>
          <w:iCs/>
          <w:u w:val="single"/>
        </w:rPr>
        <w:t xml:space="preserve">e will estimate </w:t>
      </w:r>
      <w:r w:rsidRPr="000F1EBE">
        <w:rPr>
          <w:i/>
          <w:iCs/>
        </w:rPr>
        <w:t>standardized risk curves for the PP analysis. The procedure is similar for the ITT analysis</w:t>
      </w:r>
      <w:r>
        <w:rPr>
          <w:i/>
          <w:iCs/>
        </w:rPr>
        <w:t xml:space="preserve"> (changes only the initial model in step 1)</w:t>
      </w:r>
    </w:p>
    <w:p w14:paraId="1D0DB3C9" w14:textId="3E7D9EBA" w:rsidR="00591DE2" w:rsidRPr="00591DE2" w:rsidRDefault="00591DE2">
      <w:pPr>
        <w:pStyle w:val="BodyText"/>
        <w:spacing w:before="243"/>
        <w:ind w:left="120"/>
        <w:rPr>
          <w:b/>
          <w:bCs/>
        </w:rPr>
      </w:pPr>
      <w:r w:rsidRPr="00591DE2">
        <w:rPr>
          <w:b/>
          <w:bCs/>
        </w:rPr>
        <w:t xml:space="preserve">See the Stata script how we implement the 8 steps for the calculation of standardized risk </w:t>
      </w:r>
      <w:proofErr w:type="gramStart"/>
      <w:r w:rsidRPr="00591DE2">
        <w:rPr>
          <w:b/>
          <w:bCs/>
        </w:rPr>
        <w:t>curves</w:t>
      </w:r>
      <w:proofErr w:type="gramEnd"/>
    </w:p>
    <w:p w14:paraId="3D943222" w14:textId="77777777" w:rsidR="000F1EBE" w:rsidRPr="00253877" w:rsidRDefault="000F1EBE" w:rsidP="000F1EBE">
      <w:pPr>
        <w:pStyle w:val="BodyText"/>
        <w:spacing w:before="243"/>
        <w:ind w:left="120"/>
        <w:rPr>
          <w:lang w:val="en-GB"/>
        </w:rPr>
      </w:pPr>
      <w:r w:rsidRPr="00253877">
        <w:t>1. Fit a discrete-time hazards model (</w:t>
      </w:r>
      <w:proofErr w:type="spellStart"/>
      <w:r w:rsidRPr="00253877">
        <w:t>eg</w:t>
      </w:r>
      <w:proofErr w:type="spellEnd"/>
      <w:r w:rsidRPr="00253877">
        <w:t>, a pooled logistic model with relatively short periods) that estimates, at each time and for each person, the probability of developing the outcome. Use the variable “time of follow-up,”, along with time</w:t>
      </w:r>
      <w:r w:rsidRPr="00253877">
        <w:rPr>
          <w:vertAlign w:val="superscript"/>
        </w:rPr>
        <w:t>2</w:t>
      </w:r>
      <w:r w:rsidRPr="00253877">
        <w:t xml:space="preserve"> and time</w:t>
      </w:r>
      <w:r w:rsidRPr="00253877">
        <w:rPr>
          <w:vertAlign w:val="superscript"/>
        </w:rPr>
        <w:t>3</w:t>
      </w:r>
      <w:r w:rsidRPr="00253877">
        <w:t xml:space="preserve"> or a flexible functional form (splines) and estimate time-varying HRs by adding product terms between exposure and “time of follow-up.” </w:t>
      </w:r>
    </w:p>
    <w:p w14:paraId="795415F8" w14:textId="77777777" w:rsidR="000F1EBE" w:rsidRPr="00253877" w:rsidRDefault="000F1EBE" w:rsidP="000F1EBE">
      <w:pPr>
        <w:pStyle w:val="BodyText"/>
        <w:spacing w:before="243"/>
        <w:ind w:left="120"/>
        <w:rPr>
          <w:lang w:val="en-GB"/>
        </w:rPr>
      </w:pPr>
      <w:r w:rsidRPr="00253877">
        <w:t xml:space="preserve">2. Recreate all time points and two exposure groups for each subject </w:t>
      </w:r>
      <w:proofErr w:type="gramStart"/>
      <w:r w:rsidRPr="00253877">
        <w:t>( we</w:t>
      </w:r>
      <w:proofErr w:type="gramEnd"/>
      <w:r w:rsidRPr="00253877">
        <w:t xml:space="preserve"> want to estimate their risk curves both under exposure and under no exposure, regardless of the subject’s exposure status)</w:t>
      </w:r>
    </w:p>
    <w:p w14:paraId="29DBC035" w14:textId="77777777" w:rsidR="000F1EBE" w:rsidRPr="00253877" w:rsidRDefault="000F1EBE" w:rsidP="000F1EBE">
      <w:pPr>
        <w:pStyle w:val="BodyText"/>
        <w:spacing w:before="243"/>
        <w:ind w:left="120"/>
        <w:rPr>
          <w:lang w:val="en-GB"/>
        </w:rPr>
      </w:pPr>
      <w:r w:rsidRPr="00253877">
        <w:t>3. Estimate the probability of being at risk at each time point</w:t>
      </w:r>
    </w:p>
    <w:p w14:paraId="6E69877E" w14:textId="77777777" w:rsidR="000F1EBE" w:rsidRPr="00253877" w:rsidRDefault="000F1EBE" w:rsidP="000F1EBE">
      <w:pPr>
        <w:pStyle w:val="BodyText"/>
        <w:spacing w:before="243"/>
        <w:ind w:left="120"/>
        <w:rPr>
          <w:lang w:val="en-GB"/>
        </w:rPr>
      </w:pPr>
      <w:r w:rsidRPr="00253877">
        <w:t>4. Estimate the probability of being healthy at each time point (1-probability of being at risk)</w:t>
      </w:r>
    </w:p>
    <w:p w14:paraId="34E27EFF" w14:textId="77777777" w:rsidR="000F1EBE" w:rsidRPr="00253877" w:rsidRDefault="000F1EBE" w:rsidP="000F1EBE">
      <w:pPr>
        <w:pStyle w:val="BodyText"/>
        <w:spacing w:before="243"/>
        <w:ind w:left="120"/>
        <w:rPr>
          <w:lang w:val="en-GB"/>
        </w:rPr>
      </w:pPr>
      <w:r w:rsidRPr="00253877">
        <w:t>6. Multiply the model’s predicted values of being healthy through time </w:t>
      </w:r>
      <w:r w:rsidRPr="00253877">
        <w:rPr>
          <w:i/>
          <w:iCs/>
        </w:rPr>
        <w:t>t</w:t>
      </w:r>
      <w:r w:rsidRPr="00253877">
        <w:t> to estimate the probability of remaining healthy (or probability of survival if the outcome is death) at </w:t>
      </w:r>
      <w:r w:rsidRPr="00253877">
        <w:rPr>
          <w:i/>
          <w:iCs/>
        </w:rPr>
        <w:t>t</w:t>
      </w:r>
      <w:r w:rsidRPr="00253877">
        <w:t xml:space="preserve"> for subjects with their same combination of covariate values. </w:t>
      </w:r>
    </w:p>
    <w:p w14:paraId="702EBA00" w14:textId="77777777" w:rsidR="000F1EBE" w:rsidRPr="00253877" w:rsidRDefault="000F1EBE" w:rsidP="000F1EBE">
      <w:pPr>
        <w:pStyle w:val="BodyText"/>
        <w:spacing w:before="243"/>
        <w:ind w:left="120"/>
        <w:rPr>
          <w:lang w:val="en-GB"/>
        </w:rPr>
      </w:pPr>
      <w:r w:rsidRPr="00253877">
        <w:lastRenderedPageBreak/>
        <w:t>6. Predict the probability of being at risk at time </w:t>
      </w:r>
      <w:r w:rsidRPr="00253877">
        <w:rPr>
          <w:i/>
          <w:iCs/>
        </w:rPr>
        <w:t>t</w:t>
      </w:r>
      <w:r w:rsidRPr="00253877">
        <w:t> for each subject both under exposure and under no exposure, regardless of the subject’s exposure status (1- probability of remaining healthy)</w:t>
      </w:r>
    </w:p>
    <w:p w14:paraId="4BA28923" w14:textId="77777777" w:rsidR="000F1EBE" w:rsidRPr="00253877" w:rsidRDefault="000F1EBE" w:rsidP="000F1EBE">
      <w:pPr>
        <w:pStyle w:val="BodyText"/>
        <w:spacing w:before="243"/>
        <w:ind w:left="120"/>
        <w:rPr>
          <w:lang w:val="en-GB"/>
        </w:rPr>
      </w:pPr>
      <w:r w:rsidRPr="00253877">
        <w:t>7. Separately average the adjusted risk curves under exposure and under no exposure, over all subjects. This last step effectively standardizes the curves to the empirical distribution of the covariates in the study, and results in 2 marginal risk curves: one under exposure, another under no exposure.</w:t>
      </w:r>
    </w:p>
    <w:p w14:paraId="2FA2901E" w14:textId="7B94F951" w:rsidR="00C01B21" w:rsidRDefault="000F1EBE">
      <w:pPr>
        <w:pStyle w:val="BodyText"/>
        <w:spacing w:before="243"/>
        <w:ind w:left="120"/>
        <w:rPr>
          <w:lang w:val="en-GB"/>
        </w:rPr>
      </w:pPr>
      <w:r w:rsidRPr="00253877">
        <w:rPr>
          <w:lang w:val="en-GB"/>
        </w:rPr>
        <w:t>8</w:t>
      </w:r>
      <w:r w:rsidR="00F26935" w:rsidRPr="00253877">
        <w:rPr>
          <w:lang w:val="en-GB"/>
        </w:rPr>
        <w:t>. Estimate 95% CI using bootstrap</w:t>
      </w:r>
    </w:p>
    <w:p w14:paraId="1D2D9C9A" w14:textId="0C018DAC" w:rsidR="00623218" w:rsidRDefault="00623218">
      <w:pPr>
        <w:pStyle w:val="BodyText"/>
        <w:spacing w:before="243"/>
        <w:ind w:left="120"/>
        <w:rPr>
          <w:b/>
          <w:bCs/>
          <w:lang w:val="en-GB"/>
        </w:rPr>
      </w:pPr>
      <w:r w:rsidRPr="00623218">
        <w:rPr>
          <w:b/>
          <w:bCs/>
          <w:lang w:val="en-GB"/>
        </w:rPr>
        <w:t>Results:</w:t>
      </w:r>
    </w:p>
    <w:p w14:paraId="24065960" w14:textId="720E7BE9" w:rsidR="001212A2" w:rsidRDefault="00827CC9" w:rsidP="00827CC9">
      <w:pPr>
        <w:pStyle w:val="BodyText"/>
        <w:spacing w:before="243"/>
        <w:ind w:left="120"/>
        <w:rPr>
          <w:b/>
          <w:bCs/>
          <w:lang w:val="en-GB"/>
        </w:rPr>
      </w:pPr>
      <w:r>
        <w:rPr>
          <w:b/>
          <w:bCs/>
          <w:lang w:val="en-GB"/>
        </w:rPr>
        <w:t xml:space="preserve">Risk in the treatment A=0 group: </w:t>
      </w:r>
      <w:r w:rsidR="00FE4910">
        <w:rPr>
          <w:b/>
          <w:bCs/>
          <w:lang w:val="en-GB"/>
        </w:rPr>
        <w:t xml:space="preserve">       </w:t>
      </w:r>
      <w:r w:rsidR="008232BB" w:rsidRPr="008232BB">
        <w:rPr>
          <w:b/>
          <w:bCs/>
          <w:lang w:val="en-GB"/>
        </w:rPr>
        <w:t>3</w:t>
      </w:r>
      <w:r w:rsidR="002E2703">
        <w:rPr>
          <w:b/>
          <w:bCs/>
          <w:lang w:val="en-GB"/>
        </w:rPr>
        <w:t>4</w:t>
      </w:r>
      <w:r w:rsidR="008232BB" w:rsidRPr="008232BB">
        <w:rPr>
          <w:b/>
          <w:bCs/>
          <w:lang w:val="en-GB"/>
        </w:rPr>
        <w:t>.</w:t>
      </w:r>
      <w:r w:rsidR="00075780">
        <w:rPr>
          <w:b/>
          <w:bCs/>
          <w:lang w:val="en-GB"/>
        </w:rPr>
        <w:t>3</w:t>
      </w:r>
      <w:r w:rsidR="008232BB" w:rsidRPr="008232BB">
        <w:rPr>
          <w:b/>
          <w:bCs/>
          <w:lang w:val="en-GB"/>
        </w:rPr>
        <w:t>% (29.7</w:t>
      </w:r>
      <w:proofErr w:type="gramStart"/>
      <w:r w:rsidR="008232BB" w:rsidRPr="008232BB">
        <w:rPr>
          <w:b/>
          <w:bCs/>
          <w:lang w:val="en-GB"/>
        </w:rPr>
        <w:t xml:space="preserve">% </w:t>
      </w:r>
      <w:r w:rsidR="008232BB">
        <w:rPr>
          <w:b/>
          <w:bCs/>
          <w:lang w:val="en-GB"/>
        </w:rPr>
        <w:t>,</w:t>
      </w:r>
      <w:proofErr w:type="gramEnd"/>
      <w:r w:rsidR="008232BB" w:rsidRPr="008232BB">
        <w:rPr>
          <w:b/>
          <w:bCs/>
          <w:lang w:val="en-GB"/>
        </w:rPr>
        <w:t xml:space="preserve"> 38.</w:t>
      </w:r>
      <w:r w:rsidR="00075780">
        <w:rPr>
          <w:b/>
          <w:bCs/>
          <w:lang w:val="en-GB"/>
        </w:rPr>
        <w:t>5</w:t>
      </w:r>
      <w:r w:rsidR="008232BB" w:rsidRPr="008232BB">
        <w:rPr>
          <w:b/>
          <w:bCs/>
          <w:lang w:val="en-GB"/>
        </w:rPr>
        <w:t>%)</w:t>
      </w:r>
    </w:p>
    <w:p w14:paraId="4D9F480F" w14:textId="7D7A5FC4" w:rsidR="00827CC9" w:rsidRDefault="00827CC9" w:rsidP="00827CC9">
      <w:pPr>
        <w:pStyle w:val="BodyText"/>
        <w:spacing w:before="243"/>
        <w:ind w:left="120"/>
        <w:rPr>
          <w:b/>
          <w:bCs/>
          <w:lang w:val="en-GB"/>
        </w:rPr>
      </w:pPr>
      <w:r>
        <w:rPr>
          <w:b/>
          <w:bCs/>
          <w:lang w:val="en-GB"/>
        </w:rPr>
        <w:t xml:space="preserve">Risk in the treatment A=1 group: </w:t>
      </w:r>
      <w:r w:rsidR="00FE4910">
        <w:rPr>
          <w:b/>
          <w:bCs/>
          <w:lang w:val="en-GB"/>
        </w:rPr>
        <w:t xml:space="preserve">        </w:t>
      </w:r>
      <w:r w:rsidR="008232BB" w:rsidRPr="008232BB">
        <w:rPr>
          <w:b/>
          <w:bCs/>
          <w:lang w:val="en-GB"/>
        </w:rPr>
        <w:t>3</w:t>
      </w:r>
      <w:r w:rsidR="002E2703">
        <w:rPr>
          <w:b/>
          <w:bCs/>
          <w:lang w:val="en-GB"/>
        </w:rPr>
        <w:t>2</w:t>
      </w:r>
      <w:r w:rsidR="008232BB" w:rsidRPr="008232BB">
        <w:rPr>
          <w:b/>
          <w:bCs/>
          <w:lang w:val="en-GB"/>
        </w:rPr>
        <w:t>.</w:t>
      </w:r>
      <w:r w:rsidR="002E2703">
        <w:rPr>
          <w:b/>
          <w:bCs/>
          <w:lang w:val="en-GB"/>
        </w:rPr>
        <w:t>3</w:t>
      </w:r>
      <w:r w:rsidR="008232BB" w:rsidRPr="008232BB">
        <w:rPr>
          <w:b/>
          <w:bCs/>
          <w:lang w:val="en-GB"/>
        </w:rPr>
        <w:t>% (30.0</w:t>
      </w:r>
      <w:proofErr w:type="gramStart"/>
      <w:r w:rsidR="008232BB" w:rsidRPr="008232BB">
        <w:rPr>
          <w:b/>
          <w:bCs/>
          <w:lang w:val="en-GB"/>
        </w:rPr>
        <w:t xml:space="preserve">% </w:t>
      </w:r>
      <w:r w:rsidR="008232BB">
        <w:rPr>
          <w:b/>
          <w:bCs/>
          <w:lang w:val="en-GB"/>
        </w:rPr>
        <w:t>,</w:t>
      </w:r>
      <w:proofErr w:type="gramEnd"/>
      <w:r w:rsidR="008232BB" w:rsidRPr="008232BB">
        <w:rPr>
          <w:b/>
          <w:bCs/>
          <w:lang w:val="en-GB"/>
        </w:rPr>
        <w:t xml:space="preserve"> 34.8%)</w:t>
      </w:r>
    </w:p>
    <w:p w14:paraId="4A06D32C" w14:textId="6F5BEDA9" w:rsidR="00827CC9" w:rsidRPr="00827CC9" w:rsidRDefault="00827CC9" w:rsidP="00827CC9">
      <w:pPr>
        <w:pStyle w:val="BodyText"/>
        <w:spacing w:before="243"/>
        <w:ind w:left="120"/>
        <w:rPr>
          <w:b/>
          <w:bCs/>
          <w:lang w:val="en-GB"/>
        </w:rPr>
      </w:pPr>
      <w:r>
        <w:rPr>
          <w:b/>
          <w:bCs/>
          <w:lang w:val="en-GB"/>
        </w:rPr>
        <w:t xml:space="preserve">Risk difference (Risk A=1 vs Risk A=0): </w:t>
      </w:r>
      <w:r w:rsidR="008232BB" w:rsidRPr="008232BB">
        <w:rPr>
          <w:b/>
          <w:bCs/>
          <w:lang w:val="en-GB"/>
        </w:rPr>
        <w:t>-</w:t>
      </w:r>
      <w:r w:rsidR="002E2703">
        <w:rPr>
          <w:b/>
          <w:bCs/>
          <w:lang w:val="en-GB"/>
        </w:rPr>
        <w:t>1.9</w:t>
      </w:r>
      <w:r w:rsidR="008232BB" w:rsidRPr="008232BB">
        <w:rPr>
          <w:b/>
          <w:bCs/>
          <w:lang w:val="en-GB"/>
        </w:rPr>
        <w:t>% (-6.</w:t>
      </w:r>
      <w:r w:rsidR="00847849">
        <w:rPr>
          <w:b/>
          <w:bCs/>
          <w:lang w:val="en-GB"/>
        </w:rPr>
        <w:t>4</w:t>
      </w:r>
      <w:proofErr w:type="gramStart"/>
      <w:r w:rsidR="008232BB" w:rsidRPr="008232BB">
        <w:rPr>
          <w:b/>
          <w:bCs/>
          <w:lang w:val="en-GB"/>
        </w:rPr>
        <w:t xml:space="preserve">% </w:t>
      </w:r>
      <w:r w:rsidR="008232BB">
        <w:rPr>
          <w:b/>
          <w:bCs/>
          <w:lang w:val="en-GB"/>
        </w:rPr>
        <w:t>,</w:t>
      </w:r>
      <w:proofErr w:type="gramEnd"/>
      <w:r w:rsidR="008232BB">
        <w:rPr>
          <w:b/>
          <w:bCs/>
          <w:lang w:val="en-GB"/>
        </w:rPr>
        <w:t xml:space="preserve"> </w:t>
      </w:r>
      <w:r w:rsidR="008232BB" w:rsidRPr="008232BB">
        <w:rPr>
          <w:b/>
          <w:bCs/>
          <w:lang w:val="en-GB"/>
        </w:rPr>
        <w:t xml:space="preserve"> 3.0%)</w:t>
      </w:r>
    </w:p>
    <w:p w14:paraId="04B27781" w14:textId="77777777" w:rsidR="00827CC9" w:rsidRPr="00827CC9" w:rsidRDefault="00827CC9" w:rsidP="00827CC9">
      <w:pPr>
        <w:pStyle w:val="BodyText"/>
        <w:spacing w:before="243"/>
        <w:ind w:left="120"/>
        <w:rPr>
          <w:b/>
          <w:bCs/>
          <w:lang w:val="en-GB"/>
        </w:rPr>
      </w:pPr>
    </w:p>
    <w:sectPr w:rsidR="00827CC9" w:rsidRPr="00827CC9">
      <w:footerReference w:type="default" r:id="rId7"/>
      <w:pgSz w:w="11900" w:h="16840"/>
      <w:pgMar w:top="700" w:right="1320" w:bottom="1240" w:left="1320" w:header="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DEF72" w14:textId="77777777" w:rsidR="00EE793F" w:rsidRDefault="00EE793F">
      <w:r>
        <w:separator/>
      </w:r>
    </w:p>
  </w:endnote>
  <w:endnote w:type="continuationSeparator" w:id="0">
    <w:p w14:paraId="4876F38F" w14:textId="77777777" w:rsidR="00EE793F" w:rsidRDefault="00EE7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EB9A0" w14:textId="77777777" w:rsidR="001C647E" w:rsidRDefault="00C01B21">
    <w:pPr>
      <w:pStyle w:val="BodyText"/>
      <w:spacing w:line="14" w:lineRule="auto"/>
      <w:rPr>
        <w:sz w:val="20"/>
      </w:rPr>
    </w:pPr>
    <w:r>
      <w:rPr>
        <w:noProof/>
        <w:lang w:val="en-GB" w:eastAsia="en-GB" w:bidi="ar-SA"/>
      </w:rPr>
      <mc:AlternateContent>
        <mc:Choice Requires="wps">
          <w:drawing>
            <wp:anchor distT="0" distB="0" distL="114300" distR="114300" simplePos="0" relativeHeight="251657728" behindDoc="1" locked="0" layoutInCell="1" allowOverlap="1" wp14:anchorId="71AB95E9" wp14:editId="5EA2F644">
              <wp:simplePos x="0" y="0"/>
              <wp:positionH relativeFrom="page">
                <wp:posOffset>6550660</wp:posOffset>
              </wp:positionH>
              <wp:positionV relativeFrom="page">
                <wp:posOffset>9886315</wp:posOffset>
              </wp:positionV>
              <wp:extent cx="121920" cy="1968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E7AD3" w14:textId="77777777" w:rsidR="001C647E" w:rsidRDefault="00C01B21">
                          <w:pPr>
                            <w:spacing w:before="20"/>
                            <w:ind w:left="40"/>
                          </w:pPr>
                          <w:r>
                            <w:fldChar w:fldCharType="begin"/>
                          </w:r>
                          <w:r>
                            <w:instrText xml:space="preserve"> PAGE </w:instrText>
                          </w:r>
                          <w:r>
                            <w:fldChar w:fldCharType="separate"/>
                          </w:r>
                          <w:r>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AB95E9" id="_x0000_t202" coordsize="21600,21600" o:spt="202" path="m,l,21600r21600,l21600,xe">
              <v:stroke joinstyle="miter"/>
              <v:path gradientshapeok="t" o:connecttype="rect"/>
            </v:shapetype>
            <v:shape id="Text Box 1" o:spid="_x0000_s1026" type="#_x0000_t202" style="position:absolute;margin-left:515.8pt;margin-top:778.45pt;width:9.6pt;height:1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" filled="f" stroked="f">
              <v:textbox inset="0,0,0,0">
                <w:txbxContent>
                  <w:p w14:paraId="2CCE7AD3" w14:textId="77777777" w:rsidR="001C647E" w:rsidRDefault="00C01B21">
                    <w:pPr>
                      <w:spacing w:before="20"/>
                      <w:ind w:left="40"/>
                    </w:pPr>
                    <w:r>
                      <w:fldChar w:fldCharType="begin"/>
                    </w:r>
                    <w:r>
                      <w:instrText xml:space="preserve"> PAGE </w:instrText>
                    </w:r>
                    <w:r>
                      <w:fldChar w:fldCharType="separate"/>
                    </w:r>
                    <w:r>
                      <w:rPr>
                        <w:noProof/>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3FD09" w14:textId="77777777" w:rsidR="00EE793F" w:rsidRDefault="00EE793F">
      <w:r>
        <w:separator/>
      </w:r>
    </w:p>
  </w:footnote>
  <w:footnote w:type="continuationSeparator" w:id="0">
    <w:p w14:paraId="212DAB31" w14:textId="77777777" w:rsidR="00EE793F" w:rsidRDefault="00EE79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1445C"/>
    <w:multiLevelType w:val="hybridMultilevel"/>
    <w:tmpl w:val="64324510"/>
    <w:lvl w:ilvl="0" w:tplc="C71039B0">
      <w:start w:val="1"/>
      <w:numFmt w:val="bullet"/>
      <w:lvlText w:val=""/>
      <w:lvlJc w:val="left"/>
      <w:pPr>
        <w:tabs>
          <w:tab w:val="num" w:pos="720"/>
        </w:tabs>
        <w:ind w:left="720" w:hanging="360"/>
      </w:pPr>
      <w:rPr>
        <w:rFonts w:ascii="Wingdings 3" w:hAnsi="Wingdings 3" w:hint="default"/>
      </w:rPr>
    </w:lvl>
    <w:lvl w:ilvl="1" w:tplc="A8960C10" w:tentative="1">
      <w:start w:val="1"/>
      <w:numFmt w:val="bullet"/>
      <w:lvlText w:val=""/>
      <w:lvlJc w:val="left"/>
      <w:pPr>
        <w:tabs>
          <w:tab w:val="num" w:pos="1440"/>
        </w:tabs>
        <w:ind w:left="1440" w:hanging="360"/>
      </w:pPr>
      <w:rPr>
        <w:rFonts w:ascii="Wingdings 3" w:hAnsi="Wingdings 3" w:hint="default"/>
      </w:rPr>
    </w:lvl>
    <w:lvl w:ilvl="2" w:tplc="34B0C3D0" w:tentative="1">
      <w:start w:val="1"/>
      <w:numFmt w:val="bullet"/>
      <w:lvlText w:val=""/>
      <w:lvlJc w:val="left"/>
      <w:pPr>
        <w:tabs>
          <w:tab w:val="num" w:pos="2160"/>
        </w:tabs>
        <w:ind w:left="2160" w:hanging="360"/>
      </w:pPr>
      <w:rPr>
        <w:rFonts w:ascii="Wingdings 3" w:hAnsi="Wingdings 3" w:hint="default"/>
      </w:rPr>
    </w:lvl>
    <w:lvl w:ilvl="3" w:tplc="9D369256" w:tentative="1">
      <w:start w:val="1"/>
      <w:numFmt w:val="bullet"/>
      <w:lvlText w:val=""/>
      <w:lvlJc w:val="left"/>
      <w:pPr>
        <w:tabs>
          <w:tab w:val="num" w:pos="2880"/>
        </w:tabs>
        <w:ind w:left="2880" w:hanging="360"/>
      </w:pPr>
      <w:rPr>
        <w:rFonts w:ascii="Wingdings 3" w:hAnsi="Wingdings 3" w:hint="default"/>
      </w:rPr>
    </w:lvl>
    <w:lvl w:ilvl="4" w:tplc="89E80AFA" w:tentative="1">
      <w:start w:val="1"/>
      <w:numFmt w:val="bullet"/>
      <w:lvlText w:val=""/>
      <w:lvlJc w:val="left"/>
      <w:pPr>
        <w:tabs>
          <w:tab w:val="num" w:pos="3600"/>
        </w:tabs>
        <w:ind w:left="3600" w:hanging="360"/>
      </w:pPr>
      <w:rPr>
        <w:rFonts w:ascii="Wingdings 3" w:hAnsi="Wingdings 3" w:hint="default"/>
      </w:rPr>
    </w:lvl>
    <w:lvl w:ilvl="5" w:tplc="6F348650" w:tentative="1">
      <w:start w:val="1"/>
      <w:numFmt w:val="bullet"/>
      <w:lvlText w:val=""/>
      <w:lvlJc w:val="left"/>
      <w:pPr>
        <w:tabs>
          <w:tab w:val="num" w:pos="4320"/>
        </w:tabs>
        <w:ind w:left="4320" w:hanging="360"/>
      </w:pPr>
      <w:rPr>
        <w:rFonts w:ascii="Wingdings 3" w:hAnsi="Wingdings 3" w:hint="default"/>
      </w:rPr>
    </w:lvl>
    <w:lvl w:ilvl="6" w:tplc="1E04D106" w:tentative="1">
      <w:start w:val="1"/>
      <w:numFmt w:val="bullet"/>
      <w:lvlText w:val=""/>
      <w:lvlJc w:val="left"/>
      <w:pPr>
        <w:tabs>
          <w:tab w:val="num" w:pos="5040"/>
        </w:tabs>
        <w:ind w:left="5040" w:hanging="360"/>
      </w:pPr>
      <w:rPr>
        <w:rFonts w:ascii="Wingdings 3" w:hAnsi="Wingdings 3" w:hint="default"/>
      </w:rPr>
    </w:lvl>
    <w:lvl w:ilvl="7" w:tplc="5D1454EA" w:tentative="1">
      <w:start w:val="1"/>
      <w:numFmt w:val="bullet"/>
      <w:lvlText w:val=""/>
      <w:lvlJc w:val="left"/>
      <w:pPr>
        <w:tabs>
          <w:tab w:val="num" w:pos="5760"/>
        </w:tabs>
        <w:ind w:left="5760" w:hanging="360"/>
      </w:pPr>
      <w:rPr>
        <w:rFonts w:ascii="Wingdings 3" w:hAnsi="Wingdings 3" w:hint="default"/>
      </w:rPr>
    </w:lvl>
    <w:lvl w:ilvl="8" w:tplc="2C2AABA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E6605F1"/>
    <w:multiLevelType w:val="hybridMultilevel"/>
    <w:tmpl w:val="20EED034"/>
    <w:lvl w:ilvl="0" w:tplc="FA4607D0">
      <w:start w:val="1"/>
      <w:numFmt w:val="decimal"/>
      <w:lvlText w:val="%1."/>
      <w:lvlJc w:val="left"/>
      <w:pPr>
        <w:ind w:left="840" w:hanging="360"/>
        <w:jc w:val="left"/>
      </w:pPr>
      <w:rPr>
        <w:rFonts w:ascii="Calibri" w:eastAsia="Calibri" w:hAnsi="Calibri" w:cs="Calibri" w:hint="default"/>
        <w:w w:val="99"/>
        <w:sz w:val="24"/>
        <w:szCs w:val="24"/>
        <w:lang w:val="en-US" w:eastAsia="en-US" w:bidi="en-US"/>
      </w:rPr>
    </w:lvl>
    <w:lvl w:ilvl="1" w:tplc="F00CBF8A">
      <w:numFmt w:val="bullet"/>
      <w:lvlText w:val="•"/>
      <w:lvlJc w:val="left"/>
      <w:pPr>
        <w:ind w:left="1682" w:hanging="360"/>
      </w:pPr>
      <w:rPr>
        <w:rFonts w:hint="default"/>
        <w:lang w:val="en-US" w:eastAsia="en-US" w:bidi="en-US"/>
      </w:rPr>
    </w:lvl>
    <w:lvl w:ilvl="2" w:tplc="C0B0A16E">
      <w:numFmt w:val="bullet"/>
      <w:lvlText w:val="•"/>
      <w:lvlJc w:val="left"/>
      <w:pPr>
        <w:ind w:left="2524" w:hanging="360"/>
      </w:pPr>
      <w:rPr>
        <w:rFonts w:hint="default"/>
        <w:lang w:val="en-US" w:eastAsia="en-US" w:bidi="en-US"/>
      </w:rPr>
    </w:lvl>
    <w:lvl w:ilvl="3" w:tplc="A9501570">
      <w:numFmt w:val="bullet"/>
      <w:lvlText w:val="•"/>
      <w:lvlJc w:val="left"/>
      <w:pPr>
        <w:ind w:left="3366" w:hanging="360"/>
      </w:pPr>
      <w:rPr>
        <w:rFonts w:hint="default"/>
        <w:lang w:val="en-US" w:eastAsia="en-US" w:bidi="en-US"/>
      </w:rPr>
    </w:lvl>
    <w:lvl w:ilvl="4" w:tplc="ACD4DF6A">
      <w:numFmt w:val="bullet"/>
      <w:lvlText w:val="•"/>
      <w:lvlJc w:val="left"/>
      <w:pPr>
        <w:ind w:left="4208" w:hanging="360"/>
      </w:pPr>
      <w:rPr>
        <w:rFonts w:hint="default"/>
        <w:lang w:val="en-US" w:eastAsia="en-US" w:bidi="en-US"/>
      </w:rPr>
    </w:lvl>
    <w:lvl w:ilvl="5" w:tplc="6E7E4E00">
      <w:numFmt w:val="bullet"/>
      <w:lvlText w:val="•"/>
      <w:lvlJc w:val="left"/>
      <w:pPr>
        <w:ind w:left="5050" w:hanging="360"/>
      </w:pPr>
      <w:rPr>
        <w:rFonts w:hint="default"/>
        <w:lang w:val="en-US" w:eastAsia="en-US" w:bidi="en-US"/>
      </w:rPr>
    </w:lvl>
    <w:lvl w:ilvl="6" w:tplc="A5E6DD04">
      <w:numFmt w:val="bullet"/>
      <w:lvlText w:val="•"/>
      <w:lvlJc w:val="left"/>
      <w:pPr>
        <w:ind w:left="5892" w:hanging="360"/>
      </w:pPr>
      <w:rPr>
        <w:rFonts w:hint="default"/>
        <w:lang w:val="en-US" w:eastAsia="en-US" w:bidi="en-US"/>
      </w:rPr>
    </w:lvl>
    <w:lvl w:ilvl="7" w:tplc="8000FA76">
      <w:numFmt w:val="bullet"/>
      <w:lvlText w:val="•"/>
      <w:lvlJc w:val="left"/>
      <w:pPr>
        <w:ind w:left="6734" w:hanging="360"/>
      </w:pPr>
      <w:rPr>
        <w:rFonts w:hint="default"/>
        <w:lang w:val="en-US" w:eastAsia="en-US" w:bidi="en-US"/>
      </w:rPr>
    </w:lvl>
    <w:lvl w:ilvl="8" w:tplc="1A70B712">
      <w:numFmt w:val="bullet"/>
      <w:lvlText w:val="•"/>
      <w:lvlJc w:val="left"/>
      <w:pPr>
        <w:ind w:left="7576" w:hanging="360"/>
      </w:pPr>
      <w:rPr>
        <w:rFonts w:hint="default"/>
        <w:lang w:val="en-US" w:eastAsia="en-US" w:bidi="en-US"/>
      </w:rPr>
    </w:lvl>
  </w:abstractNum>
  <w:abstractNum w:abstractNumId="2" w15:restartNumberingAfterBreak="0">
    <w:nsid w:val="14E078D0"/>
    <w:multiLevelType w:val="hybridMultilevel"/>
    <w:tmpl w:val="40CAFA1A"/>
    <w:lvl w:ilvl="0" w:tplc="5C465A90">
      <w:start w:val="1"/>
      <w:numFmt w:val="decimal"/>
      <w:lvlText w:val="%1."/>
      <w:lvlJc w:val="left"/>
      <w:pPr>
        <w:ind w:left="403" w:hanging="284"/>
        <w:jc w:val="left"/>
      </w:pPr>
      <w:rPr>
        <w:rFonts w:ascii="Calibri" w:eastAsia="Calibri" w:hAnsi="Calibri" w:cs="Calibri" w:hint="default"/>
        <w:w w:val="99"/>
        <w:sz w:val="24"/>
        <w:szCs w:val="24"/>
        <w:lang w:val="en-US" w:eastAsia="en-US" w:bidi="en-US"/>
      </w:rPr>
    </w:lvl>
    <w:lvl w:ilvl="1" w:tplc="BFD4CF52">
      <w:start w:val="1"/>
      <w:numFmt w:val="lowerLetter"/>
      <w:lvlText w:val="%2."/>
      <w:lvlJc w:val="left"/>
      <w:pPr>
        <w:ind w:left="1560" w:hanging="360"/>
        <w:jc w:val="left"/>
      </w:pPr>
      <w:rPr>
        <w:rFonts w:ascii="Calibri" w:eastAsia="Calibri" w:hAnsi="Calibri" w:cs="Calibri" w:hint="default"/>
        <w:w w:val="99"/>
        <w:sz w:val="24"/>
        <w:szCs w:val="24"/>
        <w:lang w:val="en-US" w:eastAsia="en-US" w:bidi="en-US"/>
      </w:rPr>
    </w:lvl>
    <w:lvl w:ilvl="2" w:tplc="0590DB28">
      <w:numFmt w:val="bullet"/>
      <w:lvlText w:val="•"/>
      <w:lvlJc w:val="left"/>
      <w:pPr>
        <w:ind w:left="2415" w:hanging="360"/>
      </w:pPr>
      <w:rPr>
        <w:rFonts w:hint="default"/>
        <w:lang w:val="en-US" w:eastAsia="en-US" w:bidi="en-US"/>
      </w:rPr>
    </w:lvl>
    <w:lvl w:ilvl="3" w:tplc="15D4DEB4">
      <w:numFmt w:val="bullet"/>
      <w:lvlText w:val="•"/>
      <w:lvlJc w:val="left"/>
      <w:pPr>
        <w:ind w:left="3271" w:hanging="360"/>
      </w:pPr>
      <w:rPr>
        <w:rFonts w:hint="default"/>
        <w:lang w:val="en-US" w:eastAsia="en-US" w:bidi="en-US"/>
      </w:rPr>
    </w:lvl>
    <w:lvl w:ilvl="4" w:tplc="2C70343C">
      <w:numFmt w:val="bullet"/>
      <w:lvlText w:val="•"/>
      <w:lvlJc w:val="left"/>
      <w:pPr>
        <w:ind w:left="4126" w:hanging="360"/>
      </w:pPr>
      <w:rPr>
        <w:rFonts w:hint="default"/>
        <w:lang w:val="en-US" w:eastAsia="en-US" w:bidi="en-US"/>
      </w:rPr>
    </w:lvl>
    <w:lvl w:ilvl="5" w:tplc="6BCCF288">
      <w:numFmt w:val="bullet"/>
      <w:lvlText w:val="•"/>
      <w:lvlJc w:val="left"/>
      <w:pPr>
        <w:ind w:left="4982" w:hanging="360"/>
      </w:pPr>
      <w:rPr>
        <w:rFonts w:hint="default"/>
        <w:lang w:val="en-US" w:eastAsia="en-US" w:bidi="en-US"/>
      </w:rPr>
    </w:lvl>
    <w:lvl w:ilvl="6" w:tplc="FAB0F358">
      <w:numFmt w:val="bullet"/>
      <w:lvlText w:val="•"/>
      <w:lvlJc w:val="left"/>
      <w:pPr>
        <w:ind w:left="5837" w:hanging="360"/>
      </w:pPr>
      <w:rPr>
        <w:rFonts w:hint="default"/>
        <w:lang w:val="en-US" w:eastAsia="en-US" w:bidi="en-US"/>
      </w:rPr>
    </w:lvl>
    <w:lvl w:ilvl="7" w:tplc="1B9811B2">
      <w:numFmt w:val="bullet"/>
      <w:lvlText w:val="•"/>
      <w:lvlJc w:val="left"/>
      <w:pPr>
        <w:ind w:left="6693" w:hanging="360"/>
      </w:pPr>
      <w:rPr>
        <w:rFonts w:hint="default"/>
        <w:lang w:val="en-US" w:eastAsia="en-US" w:bidi="en-US"/>
      </w:rPr>
    </w:lvl>
    <w:lvl w:ilvl="8" w:tplc="548E5FD0">
      <w:numFmt w:val="bullet"/>
      <w:lvlText w:val="•"/>
      <w:lvlJc w:val="left"/>
      <w:pPr>
        <w:ind w:left="7548" w:hanging="360"/>
      </w:pPr>
      <w:rPr>
        <w:rFonts w:hint="default"/>
        <w:lang w:val="en-US" w:eastAsia="en-US" w:bidi="en-US"/>
      </w:rPr>
    </w:lvl>
  </w:abstractNum>
  <w:abstractNum w:abstractNumId="3" w15:restartNumberingAfterBreak="0">
    <w:nsid w:val="2F661FA9"/>
    <w:multiLevelType w:val="hybridMultilevel"/>
    <w:tmpl w:val="B5B8C9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956C2D"/>
    <w:multiLevelType w:val="hybridMultilevel"/>
    <w:tmpl w:val="74F43ECE"/>
    <w:lvl w:ilvl="0" w:tplc="24FE989E">
      <w:start w:val="1"/>
      <w:numFmt w:val="lowerLetter"/>
      <w:lvlText w:val="%1)"/>
      <w:lvlJc w:val="left"/>
      <w:pPr>
        <w:ind w:left="480" w:hanging="36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5" w15:restartNumberingAfterBreak="0">
    <w:nsid w:val="60741898"/>
    <w:multiLevelType w:val="hybridMultilevel"/>
    <w:tmpl w:val="B5B8C9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3E3020"/>
    <w:multiLevelType w:val="hybridMultilevel"/>
    <w:tmpl w:val="B5B8C9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69413979">
    <w:abstractNumId w:val="2"/>
  </w:num>
  <w:num w:numId="2" w16cid:durableId="1463771943">
    <w:abstractNumId w:val="1"/>
  </w:num>
  <w:num w:numId="3" w16cid:durableId="1354529657">
    <w:abstractNumId w:val="4"/>
  </w:num>
  <w:num w:numId="4" w16cid:durableId="1551914768">
    <w:abstractNumId w:val="5"/>
  </w:num>
  <w:num w:numId="5" w16cid:durableId="1033306865">
    <w:abstractNumId w:val="3"/>
  </w:num>
  <w:num w:numId="6" w16cid:durableId="155539721">
    <w:abstractNumId w:val="6"/>
  </w:num>
  <w:num w:numId="7" w16cid:durableId="491332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47E"/>
    <w:rsid w:val="00072C0F"/>
    <w:rsid w:val="00075780"/>
    <w:rsid w:val="000F1EBE"/>
    <w:rsid w:val="001212A2"/>
    <w:rsid w:val="00165F92"/>
    <w:rsid w:val="001837FD"/>
    <w:rsid w:val="001C647E"/>
    <w:rsid w:val="00253877"/>
    <w:rsid w:val="002A66E0"/>
    <w:rsid w:val="002E0601"/>
    <w:rsid w:val="002E2703"/>
    <w:rsid w:val="00326195"/>
    <w:rsid w:val="003E3AC4"/>
    <w:rsid w:val="004751AA"/>
    <w:rsid w:val="004A36EB"/>
    <w:rsid w:val="00591DE2"/>
    <w:rsid w:val="005B24D2"/>
    <w:rsid w:val="00614B0D"/>
    <w:rsid w:val="00623218"/>
    <w:rsid w:val="006722C0"/>
    <w:rsid w:val="0069289D"/>
    <w:rsid w:val="006B2A26"/>
    <w:rsid w:val="007410D8"/>
    <w:rsid w:val="007E1187"/>
    <w:rsid w:val="008232BB"/>
    <w:rsid w:val="00827CC9"/>
    <w:rsid w:val="00847849"/>
    <w:rsid w:val="00874600"/>
    <w:rsid w:val="008957EE"/>
    <w:rsid w:val="00915AF9"/>
    <w:rsid w:val="00935F31"/>
    <w:rsid w:val="00942D87"/>
    <w:rsid w:val="00953EBD"/>
    <w:rsid w:val="009954D7"/>
    <w:rsid w:val="009E0838"/>
    <w:rsid w:val="00A15C8F"/>
    <w:rsid w:val="00A1796F"/>
    <w:rsid w:val="00AA0F86"/>
    <w:rsid w:val="00AC60E9"/>
    <w:rsid w:val="00BB214F"/>
    <w:rsid w:val="00C01B21"/>
    <w:rsid w:val="00D26222"/>
    <w:rsid w:val="00D809BA"/>
    <w:rsid w:val="00D82CFC"/>
    <w:rsid w:val="00DA474A"/>
    <w:rsid w:val="00DD762F"/>
    <w:rsid w:val="00E31933"/>
    <w:rsid w:val="00E85EA2"/>
    <w:rsid w:val="00EE793F"/>
    <w:rsid w:val="00F26935"/>
    <w:rsid w:val="00F65785"/>
    <w:rsid w:val="00FE49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4DB36"/>
  <w15:docId w15:val="{9F0ACB7E-C362-445D-A4ED-BE6332A95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03" w:hanging="284"/>
    </w:pPr>
  </w:style>
  <w:style w:type="paragraph" w:customStyle="1" w:styleId="TableParagraph">
    <w:name w:val="Table Paragraph"/>
    <w:basedOn w:val="Normal"/>
    <w:uiPriority w:val="1"/>
    <w:qFormat/>
    <w:pPr>
      <w:spacing w:line="248" w:lineRule="exact"/>
    </w:pPr>
  </w:style>
  <w:style w:type="table" w:styleId="TableGrid">
    <w:name w:val="Table Grid"/>
    <w:basedOn w:val="TableNormal"/>
    <w:uiPriority w:val="39"/>
    <w:rsid w:val="007410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6073">
      <w:bodyDiv w:val="1"/>
      <w:marLeft w:val="0"/>
      <w:marRight w:val="0"/>
      <w:marTop w:val="0"/>
      <w:marBottom w:val="0"/>
      <w:divBdr>
        <w:top w:val="none" w:sz="0" w:space="0" w:color="auto"/>
        <w:left w:val="none" w:sz="0" w:space="0" w:color="auto"/>
        <w:bottom w:val="none" w:sz="0" w:space="0" w:color="auto"/>
        <w:right w:val="none" w:sz="0" w:space="0" w:color="auto"/>
      </w:divBdr>
    </w:div>
    <w:div w:id="81535873">
      <w:bodyDiv w:val="1"/>
      <w:marLeft w:val="0"/>
      <w:marRight w:val="0"/>
      <w:marTop w:val="0"/>
      <w:marBottom w:val="0"/>
      <w:divBdr>
        <w:top w:val="none" w:sz="0" w:space="0" w:color="auto"/>
        <w:left w:val="none" w:sz="0" w:space="0" w:color="auto"/>
        <w:bottom w:val="none" w:sz="0" w:space="0" w:color="auto"/>
        <w:right w:val="none" w:sz="0" w:space="0" w:color="auto"/>
      </w:divBdr>
    </w:div>
    <w:div w:id="332758953">
      <w:bodyDiv w:val="1"/>
      <w:marLeft w:val="0"/>
      <w:marRight w:val="0"/>
      <w:marTop w:val="0"/>
      <w:marBottom w:val="0"/>
      <w:divBdr>
        <w:top w:val="none" w:sz="0" w:space="0" w:color="auto"/>
        <w:left w:val="none" w:sz="0" w:space="0" w:color="auto"/>
        <w:bottom w:val="none" w:sz="0" w:space="0" w:color="auto"/>
        <w:right w:val="none" w:sz="0" w:space="0" w:color="auto"/>
      </w:divBdr>
    </w:div>
    <w:div w:id="583994190">
      <w:bodyDiv w:val="1"/>
      <w:marLeft w:val="0"/>
      <w:marRight w:val="0"/>
      <w:marTop w:val="0"/>
      <w:marBottom w:val="0"/>
      <w:divBdr>
        <w:top w:val="none" w:sz="0" w:space="0" w:color="auto"/>
        <w:left w:val="none" w:sz="0" w:space="0" w:color="auto"/>
        <w:bottom w:val="none" w:sz="0" w:space="0" w:color="auto"/>
        <w:right w:val="none" w:sz="0" w:space="0" w:color="auto"/>
      </w:divBdr>
      <w:divsChild>
        <w:div w:id="697581255">
          <w:marLeft w:val="547"/>
          <w:marRight w:val="0"/>
          <w:marTop w:val="200"/>
          <w:marBottom w:val="0"/>
          <w:divBdr>
            <w:top w:val="none" w:sz="0" w:space="0" w:color="auto"/>
            <w:left w:val="none" w:sz="0" w:space="0" w:color="auto"/>
            <w:bottom w:val="none" w:sz="0" w:space="0" w:color="auto"/>
            <w:right w:val="none" w:sz="0" w:space="0" w:color="auto"/>
          </w:divBdr>
        </w:div>
      </w:divsChild>
    </w:div>
    <w:div w:id="1335188641">
      <w:bodyDiv w:val="1"/>
      <w:marLeft w:val="0"/>
      <w:marRight w:val="0"/>
      <w:marTop w:val="0"/>
      <w:marBottom w:val="0"/>
      <w:divBdr>
        <w:top w:val="none" w:sz="0" w:space="0" w:color="auto"/>
        <w:left w:val="none" w:sz="0" w:space="0" w:color="auto"/>
        <w:bottom w:val="none" w:sz="0" w:space="0" w:color="auto"/>
        <w:right w:val="none" w:sz="0" w:space="0" w:color="auto"/>
      </w:divBdr>
    </w:div>
    <w:div w:id="1548102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Microsoft Word - Practical 9.docx</vt:lpstr>
    </vt:vector>
  </TitlesOfParts>
  <Company>University College London</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Practical 9.docx</dc:title>
  <dc:creator>rmhith0</dc:creator>
  <cp:lastModifiedBy>Michalis Katsoulis</cp:lastModifiedBy>
  <cp:revision>2</cp:revision>
  <dcterms:created xsi:type="dcterms:W3CDTF">2023-11-20T22:27:00Z</dcterms:created>
  <dcterms:modified xsi:type="dcterms:W3CDTF">2023-11-20T22:27:00Z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2018-02-28T00:00:00Z</vt:filetime>
  </property>
  <property fmtid="{D5CDD505-2E9C-101B-9397-08002B2CF9AE}" pid="3" name="Creator">
    <vt:lpwstr>Microsoft Word - Practical 9.docx</vt:lpwstr>
  </property>
  <property fmtid="{D5CDD505-2E9C-101B-9397-08002B2CF9AE}" pid="4" name="LastSaved">
    <vt:filetime>2019-03-25T00:00:00Z</vt:filetime>
  </property>
</Properties>
</file>