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6693" w:rsidRDefault="00C36693">
      <w:pPr>
        <w:rPr>
          <w:rFonts w:ascii="Segoe UI" w:hAnsi="Segoe UI" w:cs="Segoe UI"/>
          <w:b/>
          <w:bCs/>
          <w:color w:val="323130"/>
          <w:sz w:val="21"/>
          <w:szCs w:val="21"/>
          <w:shd w:val="clear" w:color="auto" w:fill="FFFFFF"/>
        </w:rPr>
      </w:pPr>
      <w:r w:rsidRPr="00C36693">
        <w:rPr>
          <w:rFonts w:ascii="Segoe UI" w:hAnsi="Segoe UI" w:cs="Segoe UI"/>
          <w:b/>
          <w:bCs/>
          <w:noProof/>
          <w:color w:val="323130"/>
          <w:sz w:val="21"/>
          <w:szCs w:val="21"/>
          <w:shd w:val="clear" w:color="auto" w:fill="FFFFFF"/>
          <w:lang w:eastAsia="en-AU"/>
        </w:rPr>
        <w:drawing>
          <wp:inline distT="0" distB="0" distL="0" distR="0" wp14:anchorId="169133A3" wp14:editId="0AF48B6A">
            <wp:extent cx="5731510" cy="286208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2862081"/>
                    </a:xfrm>
                    <a:prstGeom prst="rect">
                      <a:avLst/>
                    </a:prstGeom>
                  </pic:spPr>
                </pic:pic>
              </a:graphicData>
            </a:graphic>
          </wp:inline>
        </w:drawing>
      </w:r>
    </w:p>
    <w:p w:rsidR="00C36693" w:rsidRDefault="00C36693">
      <w:pPr>
        <w:rPr>
          <w:rFonts w:ascii="Segoe UI" w:hAnsi="Segoe UI" w:cs="Segoe UI"/>
          <w:b/>
          <w:bCs/>
          <w:color w:val="323130"/>
          <w:sz w:val="21"/>
          <w:szCs w:val="21"/>
          <w:shd w:val="clear" w:color="auto" w:fill="FFFFFF"/>
        </w:rPr>
      </w:pPr>
    </w:p>
    <w:p w:rsidR="00126FCA" w:rsidRDefault="00126FCA">
      <w:pPr>
        <w:rPr>
          <w:rFonts w:ascii="Segoe UI" w:hAnsi="Segoe UI" w:cs="Segoe UI"/>
          <w:b/>
          <w:bCs/>
          <w:color w:val="323130"/>
          <w:sz w:val="21"/>
          <w:szCs w:val="21"/>
          <w:shd w:val="clear" w:color="auto" w:fill="FFFFFF"/>
        </w:rPr>
      </w:pPr>
      <w:r w:rsidRPr="00126FCA">
        <w:rPr>
          <w:rFonts w:ascii="Segoe UI" w:hAnsi="Segoe UI" w:cs="Segoe UI"/>
          <w:b/>
          <w:bCs/>
          <w:noProof/>
          <w:color w:val="323130"/>
          <w:sz w:val="21"/>
          <w:szCs w:val="21"/>
          <w:shd w:val="clear" w:color="auto" w:fill="FFFFFF"/>
          <w:lang w:eastAsia="en-AU"/>
        </w:rPr>
        <w:drawing>
          <wp:inline distT="0" distB="0" distL="0" distR="0" wp14:anchorId="6461950B" wp14:editId="209E98BD">
            <wp:extent cx="5731510" cy="3330522"/>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330522"/>
                    </a:xfrm>
                    <a:prstGeom prst="rect">
                      <a:avLst/>
                    </a:prstGeom>
                  </pic:spPr>
                </pic:pic>
              </a:graphicData>
            </a:graphic>
          </wp:inline>
        </w:drawing>
      </w:r>
    </w:p>
    <w:p w:rsidR="00126FCA" w:rsidRDefault="00126FCA">
      <w:pPr>
        <w:rPr>
          <w:rFonts w:ascii="Segoe UI" w:hAnsi="Segoe UI" w:cs="Segoe UI"/>
          <w:b/>
          <w:bCs/>
          <w:color w:val="323130"/>
          <w:sz w:val="21"/>
          <w:szCs w:val="21"/>
          <w:shd w:val="clear" w:color="auto" w:fill="FFFFFF"/>
        </w:rPr>
      </w:pPr>
    </w:p>
    <w:p w:rsidR="00126FCA" w:rsidRDefault="00A7013B">
      <w:pPr>
        <w:rPr>
          <w:rFonts w:ascii="Segoe UI" w:hAnsi="Segoe UI" w:cs="Segoe UI"/>
          <w:b/>
          <w:bCs/>
          <w:color w:val="323130"/>
          <w:sz w:val="21"/>
          <w:szCs w:val="21"/>
          <w:shd w:val="clear" w:color="auto" w:fill="FFFFFF"/>
        </w:rPr>
      </w:pPr>
      <w:r w:rsidRPr="00A7013B">
        <w:rPr>
          <w:rFonts w:ascii="Segoe UI" w:hAnsi="Segoe UI" w:cs="Segoe UI"/>
          <w:b/>
          <w:bCs/>
          <w:noProof/>
          <w:color w:val="323130"/>
          <w:sz w:val="21"/>
          <w:szCs w:val="21"/>
          <w:shd w:val="clear" w:color="auto" w:fill="FFFFFF"/>
          <w:lang w:eastAsia="en-AU"/>
        </w:rPr>
        <w:lastRenderedPageBreak/>
        <w:drawing>
          <wp:inline distT="0" distB="0" distL="0" distR="0" wp14:anchorId="5F4479D5" wp14:editId="4582D068">
            <wp:extent cx="5731510" cy="325887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58878"/>
                    </a:xfrm>
                    <a:prstGeom prst="rect">
                      <a:avLst/>
                    </a:prstGeom>
                  </pic:spPr>
                </pic:pic>
              </a:graphicData>
            </a:graphic>
          </wp:inline>
        </w:drawing>
      </w:r>
    </w:p>
    <w:p w:rsidR="00565267" w:rsidRDefault="00565267">
      <w:pPr>
        <w:rPr>
          <w:rFonts w:ascii="Segoe UI" w:hAnsi="Segoe UI" w:cs="Segoe UI"/>
          <w:b/>
          <w:bCs/>
          <w:color w:val="323130"/>
          <w:sz w:val="21"/>
          <w:szCs w:val="21"/>
          <w:shd w:val="clear" w:color="auto" w:fill="FFFFFF"/>
        </w:rPr>
      </w:pPr>
    </w:p>
    <w:p w:rsidR="00C36693" w:rsidRDefault="00C36693">
      <w:pPr>
        <w:rPr>
          <w:rFonts w:ascii="Segoe UI" w:hAnsi="Segoe UI" w:cs="Segoe UI"/>
          <w:b/>
          <w:bCs/>
          <w:color w:val="323130"/>
          <w:sz w:val="21"/>
          <w:szCs w:val="21"/>
          <w:shd w:val="clear" w:color="auto" w:fill="FFFFFF"/>
        </w:rPr>
      </w:pPr>
    </w:p>
    <w:p w:rsidR="00C36693" w:rsidRDefault="00C36693">
      <w:pPr>
        <w:rPr>
          <w:rFonts w:ascii="Segoe UI" w:hAnsi="Segoe UI" w:cs="Segoe UI"/>
          <w:b/>
          <w:bCs/>
          <w:color w:val="323130"/>
          <w:sz w:val="21"/>
          <w:szCs w:val="21"/>
          <w:shd w:val="clear" w:color="auto" w:fill="FFFFFF"/>
        </w:rPr>
      </w:pPr>
    </w:p>
    <w:p w:rsidR="00C36693" w:rsidRDefault="00C36693">
      <w:pPr>
        <w:rPr>
          <w:rFonts w:ascii="Segoe UI" w:hAnsi="Segoe UI" w:cs="Segoe UI"/>
          <w:b/>
          <w:bCs/>
          <w:color w:val="323130"/>
          <w:sz w:val="21"/>
          <w:szCs w:val="21"/>
          <w:shd w:val="clear" w:color="auto" w:fill="FFFFFF"/>
        </w:rPr>
      </w:pPr>
    </w:p>
    <w:p w:rsidR="00887F93" w:rsidRDefault="007A1403">
      <w:pPr>
        <w:rPr>
          <w:rFonts w:ascii="Segoe UI" w:hAnsi="Segoe UI" w:cs="Segoe UI"/>
          <w:b/>
          <w:bCs/>
          <w:color w:val="323130"/>
          <w:sz w:val="21"/>
          <w:szCs w:val="21"/>
          <w:shd w:val="clear" w:color="auto" w:fill="FFFFFF"/>
        </w:rPr>
      </w:pPr>
      <w:r>
        <w:rPr>
          <w:rFonts w:ascii="Segoe UI" w:hAnsi="Segoe UI" w:cs="Segoe UI"/>
          <w:b/>
          <w:bCs/>
          <w:color w:val="323130"/>
          <w:sz w:val="21"/>
          <w:szCs w:val="21"/>
          <w:shd w:val="clear" w:color="auto" w:fill="FFFFFF"/>
        </w:rPr>
        <w:t>Self-hosted integration runtime inbound connectivity to Azure Data Factory service</w:t>
      </w:r>
    </w:p>
    <w:p w:rsidR="001B26E8" w:rsidRDefault="001B26E8">
      <w:pPr>
        <w:rPr>
          <w:rFonts w:ascii="Segoe UI" w:hAnsi="Segoe UI" w:cs="Segoe UI"/>
          <w:b/>
          <w:bCs/>
          <w:color w:val="323130"/>
          <w:sz w:val="21"/>
          <w:szCs w:val="21"/>
          <w:shd w:val="clear" w:color="auto" w:fill="FFFFFF"/>
        </w:rPr>
      </w:pPr>
      <w:r w:rsidRPr="001B26E8">
        <w:rPr>
          <w:rFonts w:ascii="Segoe UI" w:hAnsi="Segoe UI" w:cs="Segoe UI"/>
          <w:b/>
          <w:bCs/>
          <w:noProof/>
          <w:color w:val="323130"/>
          <w:sz w:val="21"/>
          <w:szCs w:val="21"/>
          <w:shd w:val="clear" w:color="auto" w:fill="FFFFFF"/>
          <w:lang w:eastAsia="en-AU"/>
        </w:rPr>
        <w:drawing>
          <wp:inline distT="0" distB="0" distL="0" distR="0" wp14:anchorId="462D01B0" wp14:editId="5DA559F2">
            <wp:extent cx="5731510" cy="357178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571784"/>
                    </a:xfrm>
                    <a:prstGeom prst="rect">
                      <a:avLst/>
                    </a:prstGeom>
                  </pic:spPr>
                </pic:pic>
              </a:graphicData>
            </a:graphic>
          </wp:inline>
        </w:drawing>
      </w:r>
    </w:p>
    <w:p w:rsidR="001B26E8" w:rsidRDefault="001B26E8">
      <w:pPr>
        <w:rPr>
          <w:rFonts w:ascii="Segoe UI" w:hAnsi="Segoe UI" w:cs="Segoe UI"/>
          <w:b/>
          <w:bCs/>
          <w:color w:val="323130"/>
          <w:sz w:val="21"/>
          <w:szCs w:val="21"/>
          <w:shd w:val="clear" w:color="auto" w:fill="FFFFFF"/>
        </w:rPr>
      </w:pPr>
    </w:p>
    <w:p w:rsidR="001B26E8" w:rsidRDefault="001B26E8">
      <w:r w:rsidRPr="001B26E8">
        <w:rPr>
          <w:noProof/>
          <w:lang w:eastAsia="en-AU"/>
        </w:rPr>
        <w:drawing>
          <wp:inline distT="0" distB="0" distL="0" distR="0" wp14:anchorId="3A751198" wp14:editId="17F9C6B8">
            <wp:extent cx="5731510" cy="3599339"/>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599339"/>
                    </a:xfrm>
                    <a:prstGeom prst="rect">
                      <a:avLst/>
                    </a:prstGeom>
                  </pic:spPr>
                </pic:pic>
              </a:graphicData>
            </a:graphic>
          </wp:inline>
        </w:drawing>
      </w:r>
    </w:p>
    <w:p w:rsidR="001B26E8" w:rsidRPr="00DA63F6" w:rsidRDefault="00AD6C59">
      <w:pPr>
        <w:rPr>
          <w:sz w:val="32"/>
          <w:szCs w:val="32"/>
        </w:rPr>
      </w:pPr>
      <w:r w:rsidRPr="00DA63F6">
        <w:rPr>
          <w:sz w:val="32"/>
          <w:szCs w:val="32"/>
        </w:rPr>
        <w:t xml:space="preserve">By default, data is encrypted with Microsoft-managed keys. For additional control over encryption keys, you can supply customer-managed keys to use for encryption of blob and file data. Customer-managed keys must be stored in an Azure Key Vault. You can </w:t>
      </w:r>
      <w:proofErr w:type="gramStart"/>
      <w:r w:rsidRPr="00DA63F6">
        <w:rPr>
          <w:sz w:val="32"/>
          <w:szCs w:val="32"/>
        </w:rPr>
        <w:t>either create your own keys and</w:t>
      </w:r>
      <w:proofErr w:type="gramEnd"/>
      <w:r w:rsidRPr="00DA63F6">
        <w:rPr>
          <w:sz w:val="32"/>
          <w:szCs w:val="32"/>
        </w:rPr>
        <w:t xml:space="preserve"> store them in a key vault, or you can use the Azure Key Vault APIs to generate keys. The storage account and the key vault must be in the same region, but they can be in different</w:t>
      </w:r>
    </w:p>
    <w:p w:rsidR="00AD6C59" w:rsidRDefault="00AD6C59"/>
    <w:p w:rsidR="00AD6C59" w:rsidRDefault="00AD6C59">
      <w:r w:rsidRPr="00AD6C59">
        <w:rPr>
          <w:noProof/>
          <w:lang w:eastAsia="en-AU"/>
        </w:rPr>
        <w:lastRenderedPageBreak/>
        <w:drawing>
          <wp:inline distT="0" distB="0" distL="0" distR="0" wp14:anchorId="0C8FC1EF" wp14:editId="020F9C35">
            <wp:extent cx="4915153" cy="341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15153" cy="3410125"/>
                    </a:xfrm>
                    <a:prstGeom prst="rect">
                      <a:avLst/>
                    </a:prstGeom>
                  </pic:spPr>
                </pic:pic>
              </a:graphicData>
            </a:graphic>
          </wp:inline>
        </w:drawing>
      </w:r>
    </w:p>
    <w:p w:rsidR="00AD6C59" w:rsidRDefault="00366226">
      <w:r>
        <w:t>Deployed ADF:</w:t>
      </w:r>
    </w:p>
    <w:p w:rsidR="00B061D5" w:rsidRDefault="00B061D5">
      <w:r w:rsidRPr="00B061D5">
        <w:rPr>
          <w:noProof/>
          <w:lang w:eastAsia="en-AU"/>
        </w:rPr>
        <w:drawing>
          <wp:inline distT="0" distB="0" distL="0" distR="0" wp14:anchorId="1817CE3D" wp14:editId="213F5273">
            <wp:extent cx="5731510" cy="2550399"/>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550399"/>
                    </a:xfrm>
                    <a:prstGeom prst="rect">
                      <a:avLst/>
                    </a:prstGeom>
                  </pic:spPr>
                </pic:pic>
              </a:graphicData>
            </a:graphic>
          </wp:inline>
        </w:drawing>
      </w:r>
    </w:p>
    <w:p w:rsidR="00431F54" w:rsidRDefault="00431F54"/>
    <w:p w:rsidR="00431F54" w:rsidRPr="00AC567A" w:rsidRDefault="00431F54">
      <w:pPr>
        <w:rPr>
          <w:b/>
          <w:u w:val="single"/>
        </w:rPr>
      </w:pPr>
      <w:r w:rsidRPr="00AC567A">
        <w:rPr>
          <w:b/>
          <w:u w:val="single"/>
        </w:rPr>
        <w:t xml:space="preserve">Login into </w:t>
      </w:r>
      <w:proofErr w:type="spellStart"/>
      <w:r w:rsidRPr="00AC567A">
        <w:rPr>
          <w:b/>
          <w:u w:val="single"/>
        </w:rPr>
        <w:t>GitHub</w:t>
      </w:r>
      <w:proofErr w:type="spellEnd"/>
      <w:r w:rsidRPr="00AC567A">
        <w:rPr>
          <w:b/>
          <w:u w:val="single"/>
        </w:rPr>
        <w:t xml:space="preserve"> and authorize ADF:</w:t>
      </w:r>
    </w:p>
    <w:p w:rsidR="00431F54" w:rsidRDefault="00431F54">
      <w:r w:rsidRPr="00431F54">
        <w:rPr>
          <w:noProof/>
          <w:lang w:eastAsia="en-AU"/>
        </w:rPr>
        <w:lastRenderedPageBreak/>
        <w:drawing>
          <wp:inline distT="0" distB="0" distL="0" distR="0" wp14:anchorId="5FEB85FB" wp14:editId="697FC4CC">
            <wp:extent cx="5731510" cy="6392838"/>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6392838"/>
                    </a:xfrm>
                    <a:prstGeom prst="rect">
                      <a:avLst/>
                    </a:prstGeom>
                  </pic:spPr>
                </pic:pic>
              </a:graphicData>
            </a:graphic>
          </wp:inline>
        </w:drawing>
      </w:r>
    </w:p>
    <w:p w:rsidR="00AC567A" w:rsidRDefault="00AC567A"/>
    <w:p w:rsidR="00AC567A" w:rsidRDefault="006219CD">
      <w:r w:rsidRPr="006219CD">
        <w:rPr>
          <w:noProof/>
          <w:lang w:eastAsia="en-AU"/>
        </w:rPr>
        <w:lastRenderedPageBreak/>
        <w:drawing>
          <wp:inline distT="0" distB="0" distL="0" distR="0" wp14:anchorId="1D3F65BA" wp14:editId="21ACC73A">
            <wp:extent cx="5731510" cy="278186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781864"/>
                    </a:xfrm>
                    <a:prstGeom prst="rect">
                      <a:avLst/>
                    </a:prstGeom>
                  </pic:spPr>
                </pic:pic>
              </a:graphicData>
            </a:graphic>
          </wp:inline>
        </w:drawing>
      </w:r>
    </w:p>
    <w:p w:rsidR="00F71B4C" w:rsidRDefault="00F71B4C"/>
    <w:p w:rsidR="00F71B4C" w:rsidRDefault="0070497B">
      <w:r w:rsidRPr="0070497B">
        <w:rPr>
          <w:noProof/>
          <w:lang w:eastAsia="en-AU"/>
        </w:rPr>
        <w:drawing>
          <wp:inline distT="0" distB="0" distL="0" distR="0" wp14:anchorId="1DC9642C" wp14:editId="133FC4E0">
            <wp:extent cx="5731510" cy="3923880"/>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923880"/>
                    </a:xfrm>
                    <a:prstGeom prst="rect">
                      <a:avLst/>
                    </a:prstGeom>
                  </pic:spPr>
                </pic:pic>
              </a:graphicData>
            </a:graphic>
          </wp:inline>
        </w:drawing>
      </w:r>
    </w:p>
    <w:p w:rsidR="00964DD4" w:rsidRDefault="00964DD4"/>
    <w:p w:rsidR="00964DD4" w:rsidRDefault="00964DD4">
      <w:r w:rsidRPr="00964DD4">
        <w:rPr>
          <w:noProof/>
          <w:lang w:eastAsia="en-AU"/>
        </w:rPr>
        <w:lastRenderedPageBreak/>
        <w:drawing>
          <wp:inline distT="0" distB="0" distL="0" distR="0" wp14:anchorId="11E8703E" wp14:editId="1726B547">
            <wp:extent cx="5731510" cy="1957654"/>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57654"/>
                    </a:xfrm>
                    <a:prstGeom prst="rect">
                      <a:avLst/>
                    </a:prstGeom>
                  </pic:spPr>
                </pic:pic>
              </a:graphicData>
            </a:graphic>
          </wp:inline>
        </w:drawing>
      </w:r>
    </w:p>
    <w:p w:rsidR="00964DD4" w:rsidRDefault="00DA63F6">
      <w:pPr>
        <w:rPr>
          <w:sz w:val="32"/>
          <w:szCs w:val="32"/>
        </w:rPr>
      </w:pPr>
      <w:r w:rsidRPr="00DA63F6">
        <w:rPr>
          <w:sz w:val="32"/>
          <w:szCs w:val="32"/>
        </w:rPr>
        <w:t>To preview data we need to select the data flow debug mode</w:t>
      </w:r>
      <w:r w:rsidR="00261F3B">
        <w:rPr>
          <w:sz w:val="32"/>
          <w:szCs w:val="32"/>
        </w:rPr>
        <w:t>.</w:t>
      </w:r>
    </w:p>
    <w:p w:rsidR="00261F3B" w:rsidRPr="00DA63F6" w:rsidRDefault="00261F3B">
      <w:pPr>
        <w:rPr>
          <w:sz w:val="32"/>
          <w:szCs w:val="32"/>
        </w:rPr>
      </w:pPr>
      <w:r>
        <w:rPr>
          <w:sz w:val="32"/>
          <w:szCs w:val="32"/>
        </w:rPr>
        <w:t>In auto resolve runtime it will select the region automatically</w:t>
      </w:r>
    </w:p>
    <w:p w:rsidR="00964DD4" w:rsidRDefault="00B4060A">
      <w:r w:rsidRPr="00B4060A">
        <w:rPr>
          <w:noProof/>
          <w:lang w:eastAsia="en-AU"/>
        </w:rPr>
        <w:drawing>
          <wp:inline distT="0" distB="0" distL="0" distR="0" wp14:anchorId="75DA23CF" wp14:editId="0986854B">
            <wp:extent cx="5731510" cy="2569382"/>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69382"/>
                    </a:xfrm>
                    <a:prstGeom prst="rect">
                      <a:avLst/>
                    </a:prstGeom>
                  </pic:spPr>
                </pic:pic>
              </a:graphicData>
            </a:graphic>
          </wp:inline>
        </w:drawing>
      </w:r>
    </w:p>
    <w:p w:rsidR="00DC23C7" w:rsidRDefault="00DC23C7"/>
    <w:p w:rsidR="00DC23C7" w:rsidRDefault="00DC23C7"/>
    <w:p w:rsidR="00DC23C7" w:rsidRDefault="00DC23C7">
      <w:r>
        <w:rPr>
          <w:noProof/>
          <w:lang w:eastAsia="en-AU"/>
        </w:rPr>
        <w:lastRenderedPageBreak/>
        <w:drawing>
          <wp:inline distT="0" distB="0" distL="0" distR="0" wp14:anchorId="7893F1F8" wp14:editId="3F274B33">
            <wp:extent cx="5731510" cy="322397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974"/>
                    </a:xfrm>
                    <a:prstGeom prst="rect">
                      <a:avLst/>
                    </a:prstGeom>
                  </pic:spPr>
                </pic:pic>
              </a:graphicData>
            </a:graphic>
          </wp:inline>
        </w:drawing>
      </w:r>
    </w:p>
    <w:p w:rsidR="005C49AA" w:rsidRDefault="005C49AA"/>
    <w:p w:rsidR="005C49AA" w:rsidRDefault="005C49AA">
      <w:r>
        <w:t>Item Type, Last Modified, size, structure</w:t>
      </w:r>
    </w:p>
    <w:p w:rsidR="005C49AA" w:rsidRDefault="005C49AA">
      <w:r w:rsidRPr="005C49AA">
        <w:rPr>
          <w:noProof/>
          <w:lang w:eastAsia="en-AU"/>
        </w:rPr>
        <w:drawing>
          <wp:inline distT="0" distB="0" distL="0" distR="0" wp14:anchorId="64285F27" wp14:editId="0D9D16EC">
            <wp:extent cx="5731510" cy="2316485"/>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316485"/>
                    </a:xfrm>
                    <a:prstGeom prst="rect">
                      <a:avLst/>
                    </a:prstGeom>
                  </pic:spPr>
                </pic:pic>
              </a:graphicData>
            </a:graphic>
          </wp:inline>
        </w:drawing>
      </w:r>
    </w:p>
    <w:tbl>
      <w:tblPr>
        <w:tblW w:w="12930" w:type="dxa"/>
        <w:shd w:val="clear" w:color="auto" w:fill="FFFFFF"/>
        <w:tblCellMar>
          <w:top w:w="15" w:type="dxa"/>
          <w:left w:w="15" w:type="dxa"/>
          <w:bottom w:w="15" w:type="dxa"/>
          <w:right w:w="15" w:type="dxa"/>
        </w:tblCellMar>
        <w:tblLook w:val="04A0" w:firstRow="1" w:lastRow="0" w:firstColumn="1" w:lastColumn="0" w:noHBand="0" w:noVBand="1"/>
      </w:tblPr>
      <w:tblGrid>
        <w:gridCol w:w="1932"/>
        <w:gridCol w:w="10998"/>
      </w:tblGrid>
      <w:tr w:rsidR="00861412" w:rsidRPr="00861412" w:rsidTr="00861412">
        <w:trPr>
          <w:tblHeader/>
        </w:trPr>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b/>
                <w:bCs/>
                <w:color w:val="171717"/>
                <w:sz w:val="24"/>
                <w:szCs w:val="24"/>
                <w:lang w:eastAsia="en-AU"/>
              </w:rPr>
            </w:pPr>
            <w:r w:rsidRPr="00861412">
              <w:rPr>
                <w:rFonts w:ascii="Segoe UI" w:eastAsia="Times New Roman" w:hAnsi="Segoe UI" w:cs="Segoe UI"/>
                <w:b/>
                <w:bCs/>
                <w:color w:val="171717"/>
                <w:sz w:val="24"/>
                <w:szCs w:val="24"/>
                <w:lang w:eastAsia="en-AU"/>
              </w:rPr>
              <w:t>Control Activity</w:t>
            </w:r>
          </w:p>
        </w:tc>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b/>
                <w:bCs/>
                <w:color w:val="171717"/>
                <w:sz w:val="24"/>
                <w:szCs w:val="24"/>
                <w:lang w:eastAsia="en-AU"/>
              </w:rPr>
            </w:pPr>
            <w:r w:rsidRPr="00861412">
              <w:rPr>
                <w:rFonts w:ascii="Segoe UI" w:eastAsia="Times New Roman" w:hAnsi="Segoe UI" w:cs="Segoe UI"/>
                <w:b/>
                <w:bCs/>
                <w:color w:val="171717"/>
                <w:sz w:val="24"/>
                <w:szCs w:val="24"/>
                <w:lang w:eastAsia="en-AU"/>
              </w:rPr>
              <w:t>Description</w:t>
            </w:r>
          </w:p>
        </w:tc>
      </w:tr>
      <w:tr w:rsidR="00861412" w:rsidRPr="00861412" w:rsidTr="00861412">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Execute Pipeline Activity</w:t>
            </w:r>
          </w:p>
        </w:tc>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Execute Pipeline activity allows a Data Factory pipeline to invoke another pipeline.</w:t>
            </w:r>
          </w:p>
        </w:tc>
      </w:tr>
      <w:tr w:rsidR="00861412" w:rsidRPr="00861412" w:rsidTr="00861412">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proofErr w:type="spellStart"/>
            <w:r w:rsidRPr="00861412">
              <w:rPr>
                <w:rFonts w:ascii="Segoe UI" w:eastAsia="Times New Roman" w:hAnsi="Segoe UI" w:cs="Segoe UI"/>
                <w:color w:val="171717"/>
                <w:sz w:val="24"/>
                <w:szCs w:val="24"/>
                <w:lang w:eastAsia="en-AU"/>
              </w:rPr>
              <w:t>ForEachActivity</w:t>
            </w:r>
            <w:proofErr w:type="spellEnd"/>
          </w:p>
        </w:tc>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proofErr w:type="spellStart"/>
            <w:r w:rsidRPr="00861412">
              <w:rPr>
                <w:rFonts w:ascii="Segoe UI" w:eastAsia="Times New Roman" w:hAnsi="Segoe UI" w:cs="Segoe UI"/>
                <w:color w:val="171717"/>
                <w:sz w:val="24"/>
                <w:szCs w:val="24"/>
                <w:lang w:eastAsia="en-AU"/>
              </w:rPr>
              <w:t>ForEach</w:t>
            </w:r>
            <w:proofErr w:type="spellEnd"/>
            <w:r w:rsidRPr="00861412">
              <w:rPr>
                <w:rFonts w:ascii="Segoe UI" w:eastAsia="Times New Roman" w:hAnsi="Segoe UI" w:cs="Segoe UI"/>
                <w:color w:val="171717"/>
                <w:sz w:val="24"/>
                <w:szCs w:val="24"/>
                <w:lang w:eastAsia="en-AU"/>
              </w:rPr>
              <w:t xml:space="preserve"> Activity defines a repeating control flow in your pipeline. This activity is used to iterate over a collection and executes specified activities in a loop. The loop implementation of this activity is similar to </w:t>
            </w:r>
            <w:proofErr w:type="spellStart"/>
            <w:r w:rsidRPr="00861412">
              <w:rPr>
                <w:rFonts w:ascii="Segoe UI" w:eastAsia="Times New Roman" w:hAnsi="Segoe UI" w:cs="Segoe UI"/>
                <w:color w:val="171717"/>
                <w:sz w:val="24"/>
                <w:szCs w:val="24"/>
                <w:lang w:eastAsia="en-AU"/>
              </w:rPr>
              <w:t>Foreach</w:t>
            </w:r>
            <w:proofErr w:type="spellEnd"/>
            <w:r w:rsidRPr="00861412">
              <w:rPr>
                <w:rFonts w:ascii="Segoe UI" w:eastAsia="Times New Roman" w:hAnsi="Segoe UI" w:cs="Segoe UI"/>
                <w:color w:val="171717"/>
                <w:sz w:val="24"/>
                <w:szCs w:val="24"/>
                <w:lang w:eastAsia="en-AU"/>
              </w:rPr>
              <w:t xml:space="preserve"> looping structure in programming languages.</w:t>
            </w:r>
          </w:p>
        </w:tc>
      </w:tr>
      <w:tr w:rsidR="00861412" w:rsidRPr="00861412" w:rsidTr="00861412">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proofErr w:type="spellStart"/>
            <w:r w:rsidRPr="00861412">
              <w:rPr>
                <w:rFonts w:ascii="Segoe UI" w:eastAsia="Times New Roman" w:hAnsi="Segoe UI" w:cs="Segoe UI"/>
                <w:color w:val="171717"/>
                <w:sz w:val="24"/>
                <w:szCs w:val="24"/>
                <w:lang w:eastAsia="en-AU"/>
              </w:rPr>
              <w:t>WebActivity</w:t>
            </w:r>
            <w:proofErr w:type="spellEnd"/>
          </w:p>
        </w:tc>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Web Activity can be used to call a custom REST endpoint from a Data Factory pipeline. You can pass datasets and linked services to be consumed and accessed by the activity.</w:t>
            </w:r>
          </w:p>
        </w:tc>
      </w:tr>
      <w:tr w:rsidR="00861412" w:rsidRPr="00861412" w:rsidTr="00861412">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Lookup Activity</w:t>
            </w:r>
          </w:p>
        </w:tc>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Lookup Activity can be used to read or look up a record/ table name/ value from any external source. This output can further be referenced by succeeding activities.</w:t>
            </w:r>
          </w:p>
        </w:tc>
      </w:tr>
      <w:tr w:rsidR="00861412" w:rsidRPr="00861412" w:rsidTr="00861412">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 xml:space="preserve">Get Metadata </w:t>
            </w:r>
            <w:r w:rsidRPr="00861412">
              <w:rPr>
                <w:rFonts w:ascii="Segoe UI" w:eastAsia="Times New Roman" w:hAnsi="Segoe UI" w:cs="Segoe UI"/>
                <w:color w:val="171717"/>
                <w:sz w:val="24"/>
                <w:szCs w:val="24"/>
                <w:lang w:eastAsia="en-AU"/>
              </w:rPr>
              <w:lastRenderedPageBreak/>
              <w:t>Activity</w:t>
            </w:r>
          </w:p>
        </w:tc>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proofErr w:type="spellStart"/>
            <w:r w:rsidRPr="00861412">
              <w:rPr>
                <w:rFonts w:ascii="Segoe UI" w:eastAsia="Times New Roman" w:hAnsi="Segoe UI" w:cs="Segoe UI"/>
                <w:color w:val="171717"/>
                <w:sz w:val="24"/>
                <w:szCs w:val="24"/>
                <w:lang w:eastAsia="en-AU"/>
              </w:rPr>
              <w:lastRenderedPageBreak/>
              <w:t>GetMetadata</w:t>
            </w:r>
            <w:proofErr w:type="spellEnd"/>
            <w:r w:rsidRPr="00861412">
              <w:rPr>
                <w:rFonts w:ascii="Segoe UI" w:eastAsia="Times New Roman" w:hAnsi="Segoe UI" w:cs="Segoe UI"/>
                <w:color w:val="171717"/>
                <w:sz w:val="24"/>
                <w:szCs w:val="24"/>
                <w:lang w:eastAsia="en-AU"/>
              </w:rPr>
              <w:t xml:space="preserve"> activity can be used to retrieve metadata of any data in Azure Data Factory.</w:t>
            </w:r>
          </w:p>
        </w:tc>
      </w:tr>
      <w:tr w:rsidR="00861412" w:rsidRPr="00861412" w:rsidTr="00861412">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lastRenderedPageBreak/>
              <w:t>Until Activity</w:t>
            </w:r>
          </w:p>
        </w:tc>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 xml:space="preserve">Implements Do-Until loop that is similar to Do-Until looping structure in programming languages. It executes a set of activities in a loop until the condition associated with the activity evaluates to true. You can specify a timeout value for </w:t>
            </w:r>
            <w:proofErr w:type="gramStart"/>
            <w:r w:rsidRPr="00861412">
              <w:rPr>
                <w:rFonts w:ascii="Segoe UI" w:eastAsia="Times New Roman" w:hAnsi="Segoe UI" w:cs="Segoe UI"/>
                <w:color w:val="171717"/>
                <w:sz w:val="24"/>
                <w:szCs w:val="24"/>
                <w:lang w:eastAsia="en-AU"/>
              </w:rPr>
              <w:t>the until</w:t>
            </w:r>
            <w:proofErr w:type="gramEnd"/>
            <w:r w:rsidRPr="00861412">
              <w:rPr>
                <w:rFonts w:ascii="Segoe UI" w:eastAsia="Times New Roman" w:hAnsi="Segoe UI" w:cs="Segoe UI"/>
                <w:color w:val="171717"/>
                <w:sz w:val="24"/>
                <w:szCs w:val="24"/>
                <w:lang w:eastAsia="en-AU"/>
              </w:rPr>
              <w:t xml:space="preserve"> activity in Data Factory.</w:t>
            </w:r>
          </w:p>
        </w:tc>
      </w:tr>
      <w:tr w:rsidR="00861412" w:rsidRPr="00861412" w:rsidTr="00861412">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If Condition Activity</w:t>
            </w:r>
          </w:p>
        </w:tc>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 xml:space="preserve">The If Condition can be used to branch based on condition that evaluates to true or false. The If Condition activity provides the same functionality that </w:t>
            </w:r>
            <w:proofErr w:type="gramStart"/>
            <w:r w:rsidRPr="00861412">
              <w:rPr>
                <w:rFonts w:ascii="Segoe UI" w:eastAsia="Times New Roman" w:hAnsi="Segoe UI" w:cs="Segoe UI"/>
                <w:color w:val="171717"/>
                <w:sz w:val="24"/>
                <w:szCs w:val="24"/>
                <w:lang w:eastAsia="en-AU"/>
              </w:rPr>
              <w:t>an if</w:t>
            </w:r>
            <w:proofErr w:type="gramEnd"/>
            <w:r w:rsidRPr="00861412">
              <w:rPr>
                <w:rFonts w:ascii="Segoe UI" w:eastAsia="Times New Roman" w:hAnsi="Segoe UI" w:cs="Segoe UI"/>
                <w:color w:val="171717"/>
                <w:sz w:val="24"/>
                <w:szCs w:val="24"/>
                <w:lang w:eastAsia="en-AU"/>
              </w:rPr>
              <w:t xml:space="preserve"> statement provides in programming languages. It evaluates a set of activities when the condition evaluates to true and another set of activities when the condition evaluates to false.</w:t>
            </w:r>
          </w:p>
        </w:tc>
      </w:tr>
      <w:tr w:rsidR="00861412" w:rsidRPr="00861412" w:rsidTr="00861412">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Wait Activity</w:t>
            </w:r>
          </w:p>
        </w:tc>
        <w:tc>
          <w:tcPr>
            <w:tcW w:w="0" w:type="auto"/>
            <w:shd w:val="clear" w:color="auto" w:fill="FFFFFF"/>
            <w:hideMark/>
          </w:tcPr>
          <w:p w:rsidR="00861412" w:rsidRPr="00861412" w:rsidRDefault="00861412" w:rsidP="00861412">
            <w:pPr>
              <w:spacing w:after="0" w:line="240" w:lineRule="auto"/>
              <w:rPr>
                <w:rFonts w:ascii="Segoe UI" w:eastAsia="Times New Roman" w:hAnsi="Segoe UI" w:cs="Segoe UI"/>
                <w:color w:val="171717"/>
                <w:sz w:val="24"/>
                <w:szCs w:val="24"/>
                <w:lang w:eastAsia="en-AU"/>
              </w:rPr>
            </w:pPr>
            <w:r w:rsidRPr="00861412">
              <w:rPr>
                <w:rFonts w:ascii="Segoe UI" w:eastAsia="Times New Roman" w:hAnsi="Segoe UI" w:cs="Segoe UI"/>
                <w:color w:val="171717"/>
                <w:sz w:val="24"/>
                <w:szCs w:val="24"/>
                <w:lang w:eastAsia="en-AU"/>
              </w:rPr>
              <w:t>When you use a Wait activity in a pipeline, the pipeline waits for the specified period of time before continuing with execution of subsequent activities.</w:t>
            </w:r>
          </w:p>
        </w:tc>
      </w:tr>
    </w:tbl>
    <w:p w:rsidR="005C49AA" w:rsidRDefault="005C49AA"/>
    <w:p w:rsidR="00FC7492" w:rsidRPr="00FC7492" w:rsidRDefault="00FC7492" w:rsidP="00FC7492">
      <w:pPr>
        <w:shd w:val="clear" w:color="auto" w:fill="FFFFFF"/>
        <w:spacing w:before="100" w:beforeAutospacing="1" w:after="100" w:afterAutospacing="1" w:line="240" w:lineRule="auto"/>
        <w:rPr>
          <w:rFonts w:ascii="Segoe UI" w:eastAsia="Times New Roman" w:hAnsi="Segoe UI" w:cs="Segoe UI"/>
          <w:color w:val="171717"/>
          <w:sz w:val="24"/>
          <w:szCs w:val="24"/>
          <w:lang w:eastAsia="en-AU"/>
        </w:rPr>
      </w:pPr>
      <w:r w:rsidRPr="00FC7492">
        <w:rPr>
          <w:rFonts w:ascii="Segoe UI" w:eastAsia="Times New Roman" w:hAnsi="Segoe UI" w:cs="Segoe UI"/>
          <w:color w:val="171717"/>
          <w:sz w:val="24"/>
          <w:szCs w:val="24"/>
          <w:lang w:eastAsia="en-AU"/>
        </w:rPr>
        <w:t>The following table describes properties in the above JSON:</w:t>
      </w:r>
    </w:p>
    <w:tbl>
      <w:tblPr>
        <w:tblW w:w="12930" w:type="dxa"/>
        <w:tblCellMar>
          <w:top w:w="15" w:type="dxa"/>
          <w:left w:w="15" w:type="dxa"/>
          <w:bottom w:w="15" w:type="dxa"/>
          <w:right w:w="15" w:type="dxa"/>
        </w:tblCellMar>
        <w:tblLook w:val="04A0" w:firstRow="1" w:lastRow="0" w:firstColumn="1" w:lastColumn="0" w:noHBand="0" w:noVBand="1"/>
      </w:tblPr>
      <w:tblGrid>
        <w:gridCol w:w="1923"/>
        <w:gridCol w:w="6085"/>
        <w:gridCol w:w="4922"/>
      </w:tblGrid>
      <w:tr w:rsidR="00FC7492" w:rsidRPr="00FC7492" w:rsidTr="00FC7492">
        <w:trPr>
          <w:tblHeader/>
        </w:trPr>
        <w:tc>
          <w:tcPr>
            <w:tcW w:w="0" w:type="auto"/>
            <w:hideMark/>
          </w:tcPr>
          <w:p w:rsidR="00FC7492" w:rsidRPr="00FC7492" w:rsidRDefault="00FC7492" w:rsidP="00FC7492">
            <w:pPr>
              <w:spacing w:after="0" w:line="240" w:lineRule="auto"/>
              <w:rPr>
                <w:rFonts w:ascii="Times New Roman" w:eastAsia="Times New Roman" w:hAnsi="Times New Roman" w:cs="Times New Roman"/>
                <w:b/>
                <w:bCs/>
                <w:sz w:val="24"/>
                <w:szCs w:val="24"/>
                <w:lang w:eastAsia="en-AU"/>
              </w:rPr>
            </w:pPr>
            <w:r w:rsidRPr="00FC7492">
              <w:rPr>
                <w:rFonts w:ascii="Times New Roman" w:eastAsia="Times New Roman" w:hAnsi="Times New Roman" w:cs="Times New Roman"/>
                <w:b/>
                <w:bCs/>
                <w:sz w:val="24"/>
                <w:szCs w:val="24"/>
                <w:lang w:eastAsia="en-AU"/>
              </w:rPr>
              <w:t>Property</w:t>
            </w:r>
          </w:p>
        </w:tc>
        <w:tc>
          <w:tcPr>
            <w:tcW w:w="0" w:type="auto"/>
            <w:hideMark/>
          </w:tcPr>
          <w:p w:rsidR="00FC7492" w:rsidRPr="00FC7492" w:rsidRDefault="00FC7492" w:rsidP="00FC7492">
            <w:pPr>
              <w:spacing w:after="0" w:line="240" w:lineRule="auto"/>
              <w:rPr>
                <w:rFonts w:ascii="Times New Roman" w:eastAsia="Times New Roman" w:hAnsi="Times New Roman" w:cs="Times New Roman"/>
                <w:b/>
                <w:bCs/>
                <w:sz w:val="24"/>
                <w:szCs w:val="24"/>
                <w:lang w:eastAsia="en-AU"/>
              </w:rPr>
            </w:pPr>
            <w:r w:rsidRPr="00FC7492">
              <w:rPr>
                <w:rFonts w:ascii="Times New Roman" w:eastAsia="Times New Roman" w:hAnsi="Times New Roman" w:cs="Times New Roman"/>
                <w:b/>
                <w:bCs/>
                <w:sz w:val="24"/>
                <w:szCs w:val="24"/>
                <w:lang w:eastAsia="en-AU"/>
              </w:rPr>
              <w:t>Description</w:t>
            </w:r>
          </w:p>
        </w:tc>
        <w:tc>
          <w:tcPr>
            <w:tcW w:w="0" w:type="auto"/>
            <w:hideMark/>
          </w:tcPr>
          <w:p w:rsidR="00FC7492" w:rsidRPr="00FC7492" w:rsidRDefault="00FC7492" w:rsidP="00FC7492">
            <w:pPr>
              <w:spacing w:after="0" w:line="240" w:lineRule="auto"/>
              <w:rPr>
                <w:rFonts w:ascii="Times New Roman" w:eastAsia="Times New Roman" w:hAnsi="Times New Roman" w:cs="Times New Roman"/>
                <w:b/>
                <w:bCs/>
                <w:sz w:val="24"/>
                <w:szCs w:val="24"/>
                <w:lang w:eastAsia="en-AU"/>
              </w:rPr>
            </w:pPr>
            <w:r w:rsidRPr="00FC7492">
              <w:rPr>
                <w:rFonts w:ascii="Times New Roman" w:eastAsia="Times New Roman" w:hAnsi="Times New Roman" w:cs="Times New Roman"/>
                <w:b/>
                <w:bCs/>
                <w:sz w:val="24"/>
                <w:szCs w:val="24"/>
                <w:lang w:eastAsia="en-AU"/>
              </w:rPr>
              <w:t>Required</w:t>
            </w:r>
          </w:p>
        </w:tc>
      </w:tr>
      <w:tr w:rsidR="00FC7492" w:rsidRPr="00FC7492" w:rsidTr="00FC7492">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name</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Name of the activity.</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Yes</w:t>
            </w:r>
          </w:p>
        </w:tc>
      </w:tr>
      <w:tr w:rsidR="00FC7492" w:rsidRPr="00FC7492" w:rsidTr="00FC7492">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description</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Text describing what the activity or is used for.</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No</w:t>
            </w:r>
          </w:p>
        </w:tc>
      </w:tr>
      <w:tr w:rsidR="00FC7492" w:rsidRPr="00FC7492" w:rsidTr="00FC7492">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type</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Defines the type of the activity.</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Yes</w:t>
            </w:r>
          </w:p>
        </w:tc>
      </w:tr>
      <w:tr w:rsidR="00FC7492" w:rsidRPr="00FC7492" w:rsidTr="00FC7492">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proofErr w:type="spellStart"/>
            <w:r w:rsidRPr="00FC7492">
              <w:rPr>
                <w:rFonts w:ascii="Times New Roman" w:eastAsia="Times New Roman" w:hAnsi="Times New Roman" w:cs="Times New Roman"/>
                <w:sz w:val="24"/>
                <w:szCs w:val="24"/>
                <w:lang w:eastAsia="en-AU"/>
              </w:rPr>
              <w:t>linkedServiceName</w:t>
            </w:r>
            <w:proofErr w:type="spellEnd"/>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Name of the linked service used by the activity.</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 xml:space="preserve">Yes for </w:t>
            </w:r>
            <w:proofErr w:type="spellStart"/>
            <w:r w:rsidRPr="00FC7492">
              <w:rPr>
                <w:rFonts w:ascii="Times New Roman" w:eastAsia="Times New Roman" w:hAnsi="Times New Roman" w:cs="Times New Roman"/>
                <w:sz w:val="24"/>
                <w:szCs w:val="24"/>
                <w:lang w:eastAsia="en-AU"/>
              </w:rPr>
              <w:t>HDInsight</w:t>
            </w:r>
            <w:proofErr w:type="spellEnd"/>
            <w:r w:rsidRPr="00FC7492">
              <w:rPr>
                <w:rFonts w:ascii="Times New Roman" w:eastAsia="Times New Roman" w:hAnsi="Times New Roman" w:cs="Times New Roman"/>
                <w:sz w:val="24"/>
                <w:szCs w:val="24"/>
                <w:lang w:eastAsia="en-AU"/>
              </w:rPr>
              <w:t>, Machine Learning Batch Scoring Activity and Stored Procedure Activity</w:t>
            </w:r>
          </w:p>
        </w:tc>
      </w:tr>
      <w:tr w:rsidR="00FC7492" w:rsidRPr="00FC7492" w:rsidTr="00FC7492">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proofErr w:type="spellStart"/>
            <w:r w:rsidRPr="00FC7492">
              <w:rPr>
                <w:rFonts w:ascii="Times New Roman" w:eastAsia="Times New Roman" w:hAnsi="Times New Roman" w:cs="Times New Roman"/>
                <w:sz w:val="24"/>
                <w:szCs w:val="24"/>
                <w:lang w:eastAsia="en-AU"/>
              </w:rPr>
              <w:t>typeProperties</w:t>
            </w:r>
            <w:proofErr w:type="spellEnd"/>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 xml:space="preserve">Properties in the </w:t>
            </w:r>
            <w:proofErr w:type="spellStart"/>
            <w:r w:rsidRPr="00FC7492">
              <w:rPr>
                <w:rFonts w:ascii="Times New Roman" w:eastAsia="Times New Roman" w:hAnsi="Times New Roman" w:cs="Times New Roman"/>
                <w:sz w:val="24"/>
                <w:szCs w:val="24"/>
                <w:lang w:eastAsia="en-AU"/>
              </w:rPr>
              <w:t>typeProperties</w:t>
            </w:r>
            <w:proofErr w:type="spellEnd"/>
            <w:r w:rsidRPr="00FC7492">
              <w:rPr>
                <w:rFonts w:ascii="Times New Roman" w:eastAsia="Times New Roman" w:hAnsi="Times New Roman" w:cs="Times New Roman"/>
                <w:sz w:val="24"/>
                <w:szCs w:val="24"/>
                <w:lang w:eastAsia="en-AU"/>
              </w:rPr>
              <w:t xml:space="preserve"> section depend on each type of activity.</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No</w:t>
            </w:r>
          </w:p>
        </w:tc>
      </w:tr>
      <w:tr w:rsidR="00FC7492" w:rsidRPr="00FC7492" w:rsidTr="00FC7492">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policy</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 xml:space="preserve">Policies that affect the run-time </w:t>
            </w:r>
            <w:proofErr w:type="spellStart"/>
            <w:r w:rsidRPr="00FC7492">
              <w:rPr>
                <w:rFonts w:ascii="Times New Roman" w:eastAsia="Times New Roman" w:hAnsi="Times New Roman" w:cs="Times New Roman"/>
                <w:sz w:val="24"/>
                <w:szCs w:val="24"/>
                <w:lang w:eastAsia="en-AU"/>
              </w:rPr>
              <w:t>behavior</w:t>
            </w:r>
            <w:proofErr w:type="spellEnd"/>
            <w:r w:rsidRPr="00FC7492">
              <w:rPr>
                <w:rFonts w:ascii="Times New Roman" w:eastAsia="Times New Roman" w:hAnsi="Times New Roman" w:cs="Times New Roman"/>
                <w:sz w:val="24"/>
                <w:szCs w:val="24"/>
                <w:lang w:eastAsia="en-AU"/>
              </w:rPr>
              <w:t xml:space="preserve"> of the activity. </w:t>
            </w:r>
            <w:proofErr w:type="gramStart"/>
            <w:r w:rsidRPr="00FC7492">
              <w:rPr>
                <w:rFonts w:ascii="Times New Roman" w:eastAsia="Times New Roman" w:hAnsi="Times New Roman" w:cs="Times New Roman"/>
                <w:sz w:val="24"/>
                <w:szCs w:val="24"/>
                <w:lang w:eastAsia="en-AU"/>
              </w:rPr>
              <w:t>This property includes timeout and retry</w:t>
            </w:r>
            <w:proofErr w:type="gramEnd"/>
            <w:r w:rsidRPr="00FC7492">
              <w:rPr>
                <w:rFonts w:ascii="Times New Roman" w:eastAsia="Times New Roman" w:hAnsi="Times New Roman" w:cs="Times New Roman"/>
                <w:sz w:val="24"/>
                <w:szCs w:val="24"/>
                <w:lang w:eastAsia="en-AU"/>
              </w:rPr>
              <w:t xml:space="preserve"> </w:t>
            </w:r>
            <w:proofErr w:type="spellStart"/>
            <w:r w:rsidRPr="00FC7492">
              <w:rPr>
                <w:rFonts w:ascii="Times New Roman" w:eastAsia="Times New Roman" w:hAnsi="Times New Roman" w:cs="Times New Roman"/>
                <w:sz w:val="24"/>
                <w:szCs w:val="24"/>
                <w:lang w:eastAsia="en-AU"/>
              </w:rPr>
              <w:t>behavior</w:t>
            </w:r>
            <w:proofErr w:type="spellEnd"/>
            <w:r w:rsidRPr="00FC7492">
              <w:rPr>
                <w:rFonts w:ascii="Times New Roman" w:eastAsia="Times New Roman" w:hAnsi="Times New Roman" w:cs="Times New Roman"/>
                <w:sz w:val="24"/>
                <w:szCs w:val="24"/>
                <w:lang w:eastAsia="en-AU"/>
              </w:rPr>
              <w:t>.</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No</w:t>
            </w:r>
          </w:p>
        </w:tc>
      </w:tr>
      <w:tr w:rsidR="00FC7492" w:rsidRPr="00FC7492" w:rsidTr="00FC7492">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proofErr w:type="spellStart"/>
            <w:r w:rsidRPr="00FC7492">
              <w:rPr>
                <w:rFonts w:ascii="Times New Roman" w:eastAsia="Times New Roman" w:hAnsi="Times New Roman" w:cs="Times New Roman"/>
                <w:sz w:val="24"/>
                <w:szCs w:val="24"/>
                <w:lang w:eastAsia="en-AU"/>
              </w:rPr>
              <w:t>dependsOn</w:t>
            </w:r>
            <w:proofErr w:type="spellEnd"/>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This property is used to define activity dependencies, and how subsequent activities depend on previous activities.</w:t>
            </w:r>
          </w:p>
        </w:tc>
        <w:tc>
          <w:tcPr>
            <w:tcW w:w="0" w:type="auto"/>
            <w:hideMark/>
          </w:tcPr>
          <w:p w:rsidR="00FC7492" w:rsidRPr="00FC7492" w:rsidRDefault="00FC7492" w:rsidP="00FC7492">
            <w:pPr>
              <w:spacing w:after="0" w:line="240" w:lineRule="auto"/>
              <w:rPr>
                <w:rFonts w:ascii="Times New Roman" w:eastAsia="Times New Roman" w:hAnsi="Times New Roman" w:cs="Times New Roman"/>
                <w:sz w:val="24"/>
                <w:szCs w:val="24"/>
                <w:lang w:eastAsia="en-AU"/>
              </w:rPr>
            </w:pPr>
            <w:r w:rsidRPr="00FC7492">
              <w:rPr>
                <w:rFonts w:ascii="Times New Roman" w:eastAsia="Times New Roman" w:hAnsi="Times New Roman" w:cs="Times New Roman"/>
                <w:sz w:val="24"/>
                <w:szCs w:val="24"/>
                <w:lang w:eastAsia="en-AU"/>
              </w:rPr>
              <w:t>No</w:t>
            </w:r>
          </w:p>
        </w:tc>
      </w:tr>
    </w:tbl>
    <w:p w:rsidR="00FC7492" w:rsidRDefault="00FC7492"/>
    <w:p w:rsidR="00881D3D" w:rsidRDefault="00881D3D"/>
    <w:p w:rsidR="00881D3D" w:rsidRDefault="00881D3D">
      <w:r w:rsidRPr="00881D3D">
        <w:rPr>
          <w:noProof/>
          <w:lang w:eastAsia="en-AU"/>
        </w:rPr>
        <w:lastRenderedPageBreak/>
        <w:drawing>
          <wp:inline distT="0" distB="0" distL="0" distR="0" wp14:anchorId="46802DDF" wp14:editId="66BFDF0A">
            <wp:extent cx="5731510" cy="288841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88412"/>
                    </a:xfrm>
                    <a:prstGeom prst="rect">
                      <a:avLst/>
                    </a:prstGeom>
                  </pic:spPr>
                </pic:pic>
              </a:graphicData>
            </a:graphic>
          </wp:inline>
        </w:drawing>
      </w:r>
    </w:p>
    <w:p w:rsidR="00881D3D" w:rsidRDefault="008F628C">
      <w:pPr>
        <w:rPr>
          <w:rFonts w:ascii="Segoe UI" w:hAnsi="Segoe UI" w:cs="Segoe UI"/>
          <w:color w:val="171717"/>
          <w:shd w:val="clear" w:color="auto" w:fill="FFFFFF"/>
        </w:rPr>
      </w:pPr>
      <w:r>
        <w:rPr>
          <w:rFonts w:ascii="Segoe UI" w:hAnsi="Segoe UI" w:cs="Segoe UI"/>
          <w:color w:val="171717"/>
          <w:shd w:val="clear" w:color="auto" w:fill="FFFFFF"/>
        </w:rPr>
        <w:t xml:space="preserve">Azure Data Factory provides the ability to lift and shift existing SSIS workload, by creating an Azure-SSIS Integration Runtime to natively execute SSIS packages, and will enable you to deploy and manage your existing SSIS packages with little to no change using familiar </w:t>
      </w:r>
      <w:r w:rsidRPr="002904C0">
        <w:rPr>
          <w:rFonts w:ascii="Segoe UI" w:hAnsi="Segoe UI" w:cs="Segoe UI"/>
          <w:b/>
          <w:color w:val="171717"/>
          <w:u w:val="single"/>
          <w:shd w:val="clear" w:color="auto" w:fill="FFFFFF"/>
        </w:rPr>
        <w:t>tools such as SQL Server Data Tools (SSDT) and SQL Server Management Studio (SSMS)</w:t>
      </w:r>
      <w:r>
        <w:rPr>
          <w:rFonts w:ascii="Segoe UI" w:hAnsi="Segoe UI" w:cs="Segoe UI"/>
          <w:color w:val="171717"/>
          <w:shd w:val="clear" w:color="auto" w:fill="FFFFFF"/>
        </w:rPr>
        <w:t>, just like using SSIS on-premises.</w:t>
      </w:r>
    </w:p>
    <w:p w:rsidR="002904C0" w:rsidRDefault="002904C0">
      <w:pPr>
        <w:rPr>
          <w:rFonts w:ascii="Segoe UI" w:hAnsi="Segoe UI" w:cs="Segoe UI"/>
          <w:color w:val="171717"/>
          <w:shd w:val="clear" w:color="auto" w:fill="FFFFFF"/>
        </w:rPr>
      </w:pPr>
    </w:p>
    <w:p w:rsidR="002904C0" w:rsidRDefault="00A838B0">
      <w:r w:rsidRPr="00A838B0">
        <w:rPr>
          <w:noProof/>
          <w:lang w:eastAsia="en-AU"/>
        </w:rPr>
        <w:lastRenderedPageBreak/>
        <w:drawing>
          <wp:inline distT="0" distB="0" distL="0" distR="0" wp14:anchorId="66231538" wp14:editId="5FFCD25A">
            <wp:extent cx="5731510" cy="4816673"/>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816673"/>
                    </a:xfrm>
                    <a:prstGeom prst="rect">
                      <a:avLst/>
                    </a:prstGeom>
                  </pic:spPr>
                </pic:pic>
              </a:graphicData>
            </a:graphic>
          </wp:inline>
        </w:drawing>
      </w:r>
    </w:p>
    <w:p w:rsidR="00A838B0" w:rsidRDefault="00A838B0"/>
    <w:p w:rsidR="00A838B0" w:rsidRDefault="00A838B0">
      <w:r w:rsidRPr="00A838B0">
        <w:rPr>
          <w:noProof/>
          <w:lang w:eastAsia="en-AU"/>
        </w:rPr>
        <w:drawing>
          <wp:inline distT="0" distB="0" distL="0" distR="0" wp14:anchorId="54008D91" wp14:editId="1A029682">
            <wp:extent cx="5731510" cy="23856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385680"/>
                    </a:xfrm>
                    <a:prstGeom prst="rect">
                      <a:avLst/>
                    </a:prstGeom>
                  </pic:spPr>
                </pic:pic>
              </a:graphicData>
            </a:graphic>
          </wp:inline>
        </w:drawing>
      </w:r>
    </w:p>
    <w:p w:rsidR="00A838B0" w:rsidRDefault="00A838B0"/>
    <w:p w:rsidR="004E09AC" w:rsidRDefault="004E09AC">
      <w:r>
        <w:t>READ THIS CLEARLY:</w:t>
      </w:r>
    </w:p>
    <w:p w:rsidR="004E09AC" w:rsidRDefault="00B76887">
      <w:pPr>
        <w:rPr>
          <w:rStyle w:val="Hyperlink"/>
        </w:rPr>
      </w:pPr>
      <w:hyperlink r:id="rId22" w:history="1">
        <w:r w:rsidR="004E09AC">
          <w:rPr>
            <w:rStyle w:val="Hyperlink"/>
          </w:rPr>
          <w:t>Understand data ingestion security considerations - Training | Microsoft Learn</w:t>
        </w:r>
      </w:hyperlink>
    </w:p>
    <w:p w:rsidR="00E443D2" w:rsidRDefault="00E443D2">
      <w:pPr>
        <w:rPr>
          <w:rStyle w:val="Hyperlink"/>
        </w:rPr>
      </w:pPr>
    </w:p>
    <w:p w:rsidR="00E443D2" w:rsidRDefault="00E443D2">
      <w:pPr>
        <w:rPr>
          <w:rStyle w:val="Hyperlink"/>
          <w:b/>
          <w:color w:val="000000" w:themeColor="text1"/>
          <w:sz w:val="32"/>
          <w:szCs w:val="32"/>
          <w:u w:val="none"/>
        </w:rPr>
      </w:pPr>
      <w:r w:rsidRPr="00E443D2">
        <w:rPr>
          <w:rStyle w:val="Hyperlink"/>
          <w:b/>
          <w:color w:val="000000" w:themeColor="text1"/>
          <w:sz w:val="32"/>
          <w:szCs w:val="32"/>
          <w:u w:val="none"/>
        </w:rPr>
        <w:t>COPY DATA TOOL IN ADF:</w:t>
      </w:r>
    </w:p>
    <w:p w:rsidR="00E443D2" w:rsidRDefault="004D7BB3">
      <w:pPr>
        <w:rPr>
          <w:rStyle w:val="Hyperlink"/>
          <w:color w:val="000000" w:themeColor="text1"/>
          <w:u w:val="none"/>
        </w:rPr>
      </w:pPr>
      <w:r>
        <w:rPr>
          <w:rStyle w:val="Hyperlink"/>
          <w:color w:val="000000" w:themeColor="text1"/>
          <w:u w:val="none"/>
        </w:rPr>
        <w:t>Copy data tool to perform one time or scheduled data load from 90+ data sources.</w:t>
      </w:r>
    </w:p>
    <w:p w:rsidR="004D7BB3" w:rsidRDefault="004D7BB3">
      <w:pPr>
        <w:rPr>
          <w:rStyle w:val="Hyperlink"/>
          <w:color w:val="000000" w:themeColor="text1"/>
          <w:u w:val="none"/>
        </w:rPr>
      </w:pPr>
    </w:p>
    <w:p w:rsidR="004D7BB3" w:rsidRDefault="004D7BB3">
      <w:pPr>
        <w:rPr>
          <w:color w:val="000000" w:themeColor="text1"/>
        </w:rPr>
      </w:pPr>
      <w:r w:rsidRPr="004D7BB3">
        <w:rPr>
          <w:noProof/>
          <w:color w:val="000000" w:themeColor="text1"/>
          <w:lang w:eastAsia="en-AU"/>
        </w:rPr>
        <w:drawing>
          <wp:inline distT="0" distB="0" distL="0" distR="0" wp14:anchorId="3C85A768" wp14:editId="792AE08A">
            <wp:extent cx="5731510" cy="25179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517945"/>
                    </a:xfrm>
                    <a:prstGeom prst="rect">
                      <a:avLst/>
                    </a:prstGeom>
                  </pic:spPr>
                </pic:pic>
              </a:graphicData>
            </a:graphic>
          </wp:inline>
        </w:drawing>
      </w:r>
    </w:p>
    <w:p w:rsidR="00B259C0" w:rsidRDefault="00B259C0">
      <w:pPr>
        <w:rPr>
          <w:color w:val="000000" w:themeColor="text1"/>
        </w:rPr>
      </w:pPr>
    </w:p>
    <w:p w:rsidR="00344FF0" w:rsidRDefault="004605F1">
      <w:pPr>
        <w:rPr>
          <w:color w:val="000000" w:themeColor="text1"/>
        </w:rPr>
      </w:pPr>
      <w:r>
        <w:rPr>
          <w:color w:val="000000" w:themeColor="text1"/>
        </w:rPr>
        <w:t xml:space="preserve">We can select instead of Amazon RDS for SQL Server also like Azure Synapse, Azure SQL database, Azure SQL </w:t>
      </w:r>
      <w:proofErr w:type="spellStart"/>
      <w:r>
        <w:rPr>
          <w:color w:val="000000" w:themeColor="text1"/>
        </w:rPr>
        <w:t>Databse</w:t>
      </w:r>
      <w:proofErr w:type="spellEnd"/>
      <w:r>
        <w:rPr>
          <w:color w:val="000000" w:themeColor="text1"/>
        </w:rPr>
        <w:t xml:space="preserve"> Managed Instance, and SQL SERVER. </w:t>
      </w:r>
    </w:p>
    <w:p w:rsidR="00CA015A" w:rsidRDefault="00CA015A">
      <w:pPr>
        <w:rPr>
          <w:noProof/>
          <w:color w:val="000000" w:themeColor="text1"/>
          <w:lang w:eastAsia="en-AU"/>
        </w:rPr>
      </w:pPr>
    </w:p>
    <w:p w:rsidR="004605F1" w:rsidRDefault="004605F1">
      <w:pPr>
        <w:rPr>
          <w:color w:val="000000" w:themeColor="text1"/>
        </w:rPr>
      </w:pPr>
      <w:r w:rsidRPr="004605F1">
        <w:rPr>
          <w:noProof/>
          <w:color w:val="000000" w:themeColor="text1"/>
          <w:lang w:eastAsia="en-AU"/>
        </w:rPr>
        <w:drawing>
          <wp:inline distT="0" distB="0" distL="0" distR="0" wp14:anchorId="519A7CC7" wp14:editId="3FAD3992">
            <wp:extent cx="5731510" cy="2663070"/>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663070"/>
                    </a:xfrm>
                    <a:prstGeom prst="rect">
                      <a:avLst/>
                    </a:prstGeom>
                  </pic:spPr>
                </pic:pic>
              </a:graphicData>
            </a:graphic>
          </wp:inline>
        </w:drawing>
      </w:r>
    </w:p>
    <w:p w:rsidR="00CA015A" w:rsidRDefault="00CA015A">
      <w:pPr>
        <w:rPr>
          <w:color w:val="000000" w:themeColor="text1"/>
        </w:rPr>
      </w:pPr>
    </w:p>
    <w:p w:rsidR="00CA015A" w:rsidRPr="00BE0E49" w:rsidRDefault="00BE0E49">
      <w:pPr>
        <w:rPr>
          <w:b/>
          <w:color w:val="000000" w:themeColor="text1"/>
        </w:rPr>
      </w:pPr>
      <w:r w:rsidRPr="00BE0E49">
        <w:rPr>
          <w:b/>
          <w:color w:val="000000" w:themeColor="text1"/>
        </w:rPr>
        <w:t xml:space="preserve">Transforming data using compute </w:t>
      </w:r>
      <w:proofErr w:type="spellStart"/>
      <w:r w:rsidRPr="00BE0E49">
        <w:rPr>
          <w:b/>
          <w:color w:val="000000" w:themeColor="text1"/>
        </w:rPr>
        <w:t>resoures</w:t>
      </w:r>
      <w:proofErr w:type="spellEnd"/>
      <w:r w:rsidRPr="00BE0E49">
        <w:rPr>
          <w:b/>
          <w:color w:val="000000" w:themeColor="text1"/>
        </w:rPr>
        <w:t>:</w:t>
      </w:r>
    </w:p>
    <w:p w:rsidR="00BE0E49" w:rsidRDefault="00BE0E49">
      <w:pPr>
        <w:rPr>
          <w:color w:val="000000" w:themeColor="text1"/>
        </w:rPr>
      </w:pPr>
      <w:r w:rsidRPr="00BE0E49">
        <w:rPr>
          <w:noProof/>
          <w:color w:val="000000" w:themeColor="text1"/>
          <w:lang w:eastAsia="en-AU"/>
        </w:rPr>
        <w:lastRenderedPageBreak/>
        <w:drawing>
          <wp:inline distT="0" distB="0" distL="0" distR="0" wp14:anchorId="28699C83" wp14:editId="3B518411">
            <wp:extent cx="5731510" cy="3212952"/>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12952"/>
                    </a:xfrm>
                    <a:prstGeom prst="rect">
                      <a:avLst/>
                    </a:prstGeom>
                  </pic:spPr>
                </pic:pic>
              </a:graphicData>
            </a:graphic>
          </wp:inline>
        </w:drawing>
      </w:r>
    </w:p>
    <w:p w:rsidR="00FB1046" w:rsidRDefault="00FB1046">
      <w:pPr>
        <w:rPr>
          <w:color w:val="000000" w:themeColor="text1"/>
        </w:rPr>
      </w:pPr>
    </w:p>
    <w:p w:rsidR="00FB1046" w:rsidRDefault="00FB1046">
      <w:pPr>
        <w:rPr>
          <w:rFonts w:ascii="Segoe UI" w:hAnsi="Segoe UI" w:cs="Segoe UI"/>
          <w:b/>
          <w:color w:val="171717"/>
          <w:shd w:val="clear" w:color="auto" w:fill="FFFFFF"/>
        </w:rPr>
      </w:pPr>
      <w:r w:rsidRPr="00FB1046">
        <w:rPr>
          <w:rFonts w:ascii="Segoe UI" w:hAnsi="Segoe UI" w:cs="Segoe UI"/>
          <w:b/>
          <w:color w:val="171717"/>
          <w:shd w:val="clear" w:color="auto" w:fill="FFFFFF"/>
        </w:rPr>
        <w:t xml:space="preserve">Clicking Debug will provision the Spark clusters required to interact with the Mapping Data Flow transformations. On turning Debug on, you will be prompted to select the Integration Runtime that you require to use in the environment. </w:t>
      </w:r>
      <w:proofErr w:type="gramStart"/>
      <w:r w:rsidRPr="00FB1046">
        <w:rPr>
          <w:rFonts w:ascii="Segoe UI" w:hAnsi="Segoe UI" w:cs="Segoe UI"/>
          <w:b/>
          <w:color w:val="171717"/>
          <w:shd w:val="clear" w:color="auto" w:fill="FFFFFF"/>
        </w:rPr>
        <w:t xml:space="preserve">If you select </w:t>
      </w:r>
      <w:proofErr w:type="spellStart"/>
      <w:r w:rsidRPr="00FB1046">
        <w:rPr>
          <w:rFonts w:ascii="Segoe UI" w:hAnsi="Segoe UI" w:cs="Segoe UI"/>
          <w:b/>
          <w:color w:val="171717"/>
          <w:shd w:val="clear" w:color="auto" w:fill="FFFFFF"/>
        </w:rPr>
        <w:t>AutoResolveIntegrationRuntime</w:t>
      </w:r>
      <w:proofErr w:type="spellEnd"/>
      <w:r w:rsidRPr="00FB1046">
        <w:rPr>
          <w:rFonts w:ascii="Segoe UI" w:hAnsi="Segoe UI" w:cs="Segoe UI"/>
          <w:b/>
          <w:color w:val="171717"/>
          <w:shd w:val="clear" w:color="auto" w:fill="FFFFFF"/>
        </w:rPr>
        <w:t>, a cluster with eight cores that will be available with a time to live value of 60 minutes.</w:t>
      </w:r>
      <w:proofErr w:type="gramEnd"/>
    </w:p>
    <w:p w:rsidR="00FB1046" w:rsidRDefault="00FB1046">
      <w:pPr>
        <w:rPr>
          <w:rFonts w:ascii="Segoe UI" w:hAnsi="Segoe UI" w:cs="Segoe UI"/>
          <w:b/>
          <w:color w:val="171717"/>
          <w:shd w:val="clear" w:color="auto" w:fill="FFFFFF"/>
        </w:rPr>
      </w:pPr>
    </w:p>
    <w:p w:rsidR="00FB1046" w:rsidRDefault="00214AE1">
      <w:pPr>
        <w:rPr>
          <w:color w:val="000000" w:themeColor="text1"/>
        </w:rPr>
      </w:pPr>
      <w:r w:rsidRPr="00214AE1">
        <w:rPr>
          <w:noProof/>
          <w:color w:val="000000" w:themeColor="text1"/>
          <w:lang w:eastAsia="en-AU"/>
        </w:rPr>
        <w:drawing>
          <wp:inline distT="0" distB="0" distL="0" distR="0" wp14:anchorId="68FE7F03" wp14:editId="7ED60FA1">
            <wp:extent cx="5731510" cy="2627554"/>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627554"/>
                    </a:xfrm>
                    <a:prstGeom prst="rect">
                      <a:avLst/>
                    </a:prstGeom>
                  </pic:spPr>
                </pic:pic>
              </a:graphicData>
            </a:graphic>
          </wp:inline>
        </w:drawing>
      </w:r>
    </w:p>
    <w:p w:rsidR="00F35B12" w:rsidRDefault="00F35B12">
      <w:pPr>
        <w:rPr>
          <w:color w:val="000000" w:themeColor="text1"/>
        </w:rPr>
      </w:pPr>
    </w:p>
    <w:p w:rsidR="00164813" w:rsidRPr="00164813" w:rsidRDefault="00164813" w:rsidP="00164813">
      <w:pPr>
        <w:shd w:val="clear" w:color="auto" w:fill="FFFFFF"/>
        <w:spacing w:after="0" w:line="240" w:lineRule="auto"/>
        <w:outlineLvl w:val="0"/>
        <w:rPr>
          <w:rFonts w:ascii="Segoe UI" w:eastAsia="Times New Roman" w:hAnsi="Segoe UI" w:cs="Segoe UI"/>
          <w:b/>
          <w:bCs/>
          <w:color w:val="171717"/>
          <w:kern w:val="36"/>
          <w:sz w:val="48"/>
          <w:szCs w:val="48"/>
          <w:lang w:eastAsia="en-AU"/>
        </w:rPr>
      </w:pPr>
      <w:r w:rsidRPr="00164813">
        <w:rPr>
          <w:rFonts w:ascii="Segoe UI" w:eastAsia="Times New Roman" w:hAnsi="Segoe UI" w:cs="Segoe UI"/>
          <w:b/>
          <w:bCs/>
          <w:color w:val="171717"/>
          <w:kern w:val="36"/>
          <w:sz w:val="48"/>
          <w:szCs w:val="48"/>
          <w:lang w:eastAsia="en-AU"/>
        </w:rPr>
        <w:lastRenderedPageBreak/>
        <w:t>Exercise - Use Azure Data Factory wrangling data</w:t>
      </w:r>
    </w:p>
    <w:p w:rsidR="00164813" w:rsidRDefault="00164813">
      <w:pPr>
        <w:rPr>
          <w:color w:val="000000" w:themeColor="text1"/>
        </w:rPr>
      </w:pPr>
    </w:p>
    <w:p w:rsidR="00164813" w:rsidRDefault="00164813">
      <w:pPr>
        <w:rPr>
          <w:color w:val="000000" w:themeColor="text1"/>
        </w:rPr>
      </w:pPr>
      <w:r>
        <w:rPr>
          <w:color w:val="000000" w:themeColor="text1"/>
        </w:rPr>
        <w:t>This is related to power query which is not in place:</w:t>
      </w:r>
    </w:p>
    <w:p w:rsidR="00164813" w:rsidRDefault="00B76887">
      <w:hyperlink r:id="rId27" w:history="1">
        <w:r w:rsidR="00164813">
          <w:rPr>
            <w:rStyle w:val="Hyperlink"/>
          </w:rPr>
          <w:t>Exercise - Use Azure Data Factory wrangling data - Training | Microsoft Learn</w:t>
        </w:r>
      </w:hyperlink>
    </w:p>
    <w:p w:rsidR="00861846" w:rsidRDefault="00861846"/>
    <w:p w:rsidR="00861846" w:rsidRDefault="00711C8C">
      <w:pPr>
        <w:rPr>
          <w:b/>
          <w:color w:val="000000" w:themeColor="text1"/>
        </w:rPr>
      </w:pPr>
      <w:r w:rsidRPr="00FB6672">
        <w:rPr>
          <w:b/>
          <w:color w:val="000000" w:themeColor="text1"/>
        </w:rPr>
        <w:t>AZURE SSIS INTEGRATION RUNTIME NOTES:</w:t>
      </w:r>
    </w:p>
    <w:p w:rsidR="00FB6672" w:rsidRDefault="00FB6672">
      <w:pPr>
        <w:rPr>
          <w:b/>
          <w:color w:val="000000" w:themeColor="text1"/>
        </w:rPr>
      </w:pPr>
    </w:p>
    <w:p w:rsidR="00FB6672" w:rsidRDefault="00FB6672">
      <w:pPr>
        <w:rPr>
          <w:b/>
          <w:color w:val="000000" w:themeColor="text1"/>
        </w:rPr>
      </w:pPr>
      <w:r w:rsidRPr="00FB6672">
        <w:rPr>
          <w:b/>
          <w:noProof/>
          <w:color w:val="000000" w:themeColor="text1"/>
          <w:lang w:eastAsia="en-AU"/>
        </w:rPr>
        <w:drawing>
          <wp:inline distT="0" distB="0" distL="0" distR="0" wp14:anchorId="67C8960F" wp14:editId="763A6EA2">
            <wp:extent cx="5731510" cy="3960008"/>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960008"/>
                    </a:xfrm>
                    <a:prstGeom prst="rect">
                      <a:avLst/>
                    </a:prstGeom>
                  </pic:spPr>
                </pic:pic>
              </a:graphicData>
            </a:graphic>
          </wp:inline>
        </w:drawing>
      </w:r>
    </w:p>
    <w:p w:rsidR="006C1E79" w:rsidRDefault="006C1E79">
      <w:pPr>
        <w:rPr>
          <w:b/>
          <w:color w:val="000000" w:themeColor="text1"/>
        </w:rPr>
      </w:pPr>
    </w:p>
    <w:p w:rsidR="009E12E8" w:rsidRDefault="006C1E79" w:rsidP="009E12E8">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Exercise - Design and implement a Type 1 slowly changing dimension with mapping data flows</w:t>
      </w:r>
    </w:p>
    <w:p w:rsidR="009E12E8" w:rsidRPr="009E12E8" w:rsidRDefault="009E12E8" w:rsidP="009E12E8">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CHECK THIS TOPIC PERFECTLY IN ADF</w:t>
      </w:r>
    </w:p>
    <w:p w:rsidR="00A20C93" w:rsidRDefault="00A20C93" w:rsidP="00A20C93">
      <w:pPr>
        <w:pStyle w:val="Heading2"/>
        <w:shd w:val="clear" w:color="auto" w:fill="FFFFFF"/>
        <w:spacing w:before="480" w:after="180"/>
        <w:rPr>
          <w:rFonts w:ascii="Segoe UI" w:hAnsi="Segoe UI" w:cs="Segoe UI"/>
          <w:color w:val="171717"/>
        </w:rPr>
      </w:pPr>
      <w:r>
        <w:rPr>
          <w:rFonts w:ascii="Segoe UI" w:hAnsi="Segoe UI" w:cs="Segoe UI"/>
          <w:color w:val="171717"/>
        </w:rPr>
        <w:lastRenderedPageBreak/>
        <w:t>Map dataflow debug</w:t>
      </w:r>
    </w:p>
    <w:p w:rsidR="00F075C8" w:rsidRDefault="00F075C8">
      <w:pPr>
        <w:rPr>
          <w:rFonts w:ascii="Segoe UI" w:hAnsi="Segoe UI" w:cs="Segoe UI"/>
          <w:color w:val="171717"/>
          <w:shd w:val="clear" w:color="auto" w:fill="FFFFFF"/>
        </w:rPr>
      </w:pPr>
      <w:r>
        <w:rPr>
          <w:rFonts w:ascii="Segoe UI" w:hAnsi="Segoe UI" w:cs="Segoe UI"/>
          <w:color w:val="171717"/>
          <w:shd w:val="clear" w:color="auto" w:fill="FFFFFF"/>
        </w:rPr>
        <w:t xml:space="preserve">Sometimes, you don't want to debug the whole pipeline but test a part of the pipeline. A Debug run allows you to do just that. You can test the pipeline end to end or set a breakpoint. </w:t>
      </w:r>
      <w:proofErr w:type="gramStart"/>
      <w:r>
        <w:rPr>
          <w:rFonts w:ascii="Segoe UI" w:hAnsi="Segoe UI" w:cs="Segoe UI"/>
          <w:color w:val="171717"/>
          <w:shd w:val="clear" w:color="auto" w:fill="FFFFFF"/>
        </w:rPr>
        <w:t>By doing so in debug mode, you can interactively see the results of each step while you build and debug your pipeline.</w:t>
      </w:r>
      <w:proofErr w:type="gramEnd"/>
    </w:p>
    <w:p w:rsidR="00F075C8" w:rsidRDefault="00F075C8">
      <w:pPr>
        <w:rPr>
          <w:rFonts w:ascii="Segoe UI" w:hAnsi="Segoe UI" w:cs="Segoe UI"/>
          <w:color w:val="171717"/>
          <w:shd w:val="clear" w:color="auto" w:fill="FFFFFF"/>
        </w:rPr>
      </w:pPr>
    </w:p>
    <w:p w:rsidR="00711C8C" w:rsidRDefault="00591112">
      <w:pPr>
        <w:rPr>
          <w:rFonts w:ascii="Segoe UI" w:hAnsi="Segoe UI" w:cs="Segoe UI"/>
          <w:color w:val="171717"/>
          <w:shd w:val="clear" w:color="auto" w:fill="FFFFFF"/>
        </w:rPr>
      </w:pPr>
      <w:r>
        <w:rPr>
          <w:rFonts w:ascii="Segoe UI" w:hAnsi="Segoe UI" w:cs="Segoe UI"/>
          <w:color w:val="171717"/>
          <w:shd w:val="clear" w:color="auto" w:fill="FFFFFF"/>
        </w:rPr>
        <w:t>After the debug mode is on, you will actually build the data flow with an active Spark Cluster. The Spark cluster will close once the debug is off. You do have a choice in what compute you're going to use. When you use an existing debug cluster, it will reduce the start-up time. However, for complex or parallel workloads you might want to spin up your own just-in-time cluster.</w:t>
      </w:r>
    </w:p>
    <w:p w:rsidR="00353A53" w:rsidRPr="00B76887" w:rsidRDefault="00B76887">
      <w:pPr>
        <w:rPr>
          <w:b/>
          <w:color w:val="000000" w:themeColor="text1"/>
          <w:sz w:val="24"/>
          <w:szCs w:val="24"/>
        </w:rPr>
      </w:pPr>
      <w:r w:rsidRPr="00B76887">
        <w:rPr>
          <w:rFonts w:ascii="Segoe UI" w:hAnsi="Segoe UI" w:cs="Segoe UI"/>
          <w:b/>
          <w:color w:val="323130"/>
          <w:sz w:val="24"/>
          <w:szCs w:val="24"/>
          <w:shd w:val="clear" w:color="auto" w:fill="FFFFFF"/>
        </w:rPr>
        <w:t>Global parameters are constants across a Data Factory that can be consumed by a pipeline in any expression.</w:t>
      </w:r>
      <w:bookmarkStart w:id="0" w:name="_GoBack"/>
      <w:bookmarkEnd w:id="0"/>
    </w:p>
    <w:p w:rsidR="00353A53" w:rsidRPr="00042ED2" w:rsidRDefault="00353A53">
      <w:pPr>
        <w:rPr>
          <w:color w:val="000000" w:themeColor="text1"/>
        </w:rPr>
      </w:pPr>
      <w:r w:rsidRPr="00353A53">
        <w:rPr>
          <w:color w:val="000000" w:themeColor="text1"/>
        </w:rPr>
        <w:drawing>
          <wp:inline distT="0" distB="0" distL="0" distR="0" wp14:anchorId="5E6D2151" wp14:editId="4B4F3371">
            <wp:extent cx="5731510" cy="4550917"/>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550917"/>
                    </a:xfrm>
                    <a:prstGeom prst="rect">
                      <a:avLst/>
                    </a:prstGeom>
                  </pic:spPr>
                </pic:pic>
              </a:graphicData>
            </a:graphic>
          </wp:inline>
        </w:drawing>
      </w:r>
    </w:p>
    <w:sectPr w:rsidR="00353A53" w:rsidRPr="00042E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CCF"/>
    <w:rsid w:val="00042ED2"/>
    <w:rsid w:val="000C7CCF"/>
    <w:rsid w:val="00126FCA"/>
    <w:rsid w:val="00164813"/>
    <w:rsid w:val="001B26E8"/>
    <w:rsid w:val="00214AE1"/>
    <w:rsid w:val="00261F3B"/>
    <w:rsid w:val="002904C0"/>
    <w:rsid w:val="00344FF0"/>
    <w:rsid w:val="00353A53"/>
    <w:rsid w:val="00366226"/>
    <w:rsid w:val="00431F54"/>
    <w:rsid w:val="004605F1"/>
    <w:rsid w:val="004D7BB3"/>
    <w:rsid w:val="004E09AC"/>
    <w:rsid w:val="00565267"/>
    <w:rsid w:val="00573092"/>
    <w:rsid w:val="00591112"/>
    <w:rsid w:val="005C49AA"/>
    <w:rsid w:val="006219CD"/>
    <w:rsid w:val="006C1E79"/>
    <w:rsid w:val="0070497B"/>
    <w:rsid w:val="00711C8C"/>
    <w:rsid w:val="007A1403"/>
    <w:rsid w:val="00820DA7"/>
    <w:rsid w:val="00861412"/>
    <w:rsid w:val="00861846"/>
    <w:rsid w:val="00881D3D"/>
    <w:rsid w:val="00887F93"/>
    <w:rsid w:val="008F628C"/>
    <w:rsid w:val="00964DD4"/>
    <w:rsid w:val="009E12E8"/>
    <w:rsid w:val="00A20C93"/>
    <w:rsid w:val="00A7013B"/>
    <w:rsid w:val="00A838B0"/>
    <w:rsid w:val="00AC567A"/>
    <w:rsid w:val="00AD6C59"/>
    <w:rsid w:val="00B061D5"/>
    <w:rsid w:val="00B259C0"/>
    <w:rsid w:val="00B4060A"/>
    <w:rsid w:val="00B76887"/>
    <w:rsid w:val="00BE0E49"/>
    <w:rsid w:val="00C36693"/>
    <w:rsid w:val="00C61897"/>
    <w:rsid w:val="00CA015A"/>
    <w:rsid w:val="00DA63F6"/>
    <w:rsid w:val="00DC23C7"/>
    <w:rsid w:val="00E443D2"/>
    <w:rsid w:val="00F075C8"/>
    <w:rsid w:val="00F35B12"/>
    <w:rsid w:val="00F71B4C"/>
    <w:rsid w:val="00FB1046"/>
    <w:rsid w:val="00FB6672"/>
    <w:rsid w:val="00FC74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648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A20C9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2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6E8"/>
    <w:rPr>
      <w:rFonts w:ascii="Tahoma" w:hAnsi="Tahoma" w:cs="Tahoma"/>
      <w:sz w:val="16"/>
      <w:szCs w:val="16"/>
    </w:rPr>
  </w:style>
  <w:style w:type="paragraph" w:styleId="NormalWeb">
    <w:name w:val="Normal (Web)"/>
    <w:basedOn w:val="Normal"/>
    <w:uiPriority w:val="99"/>
    <w:semiHidden/>
    <w:unhideWhenUsed/>
    <w:rsid w:val="00FC749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4E09AC"/>
    <w:rPr>
      <w:color w:val="0000FF"/>
      <w:u w:val="single"/>
    </w:rPr>
  </w:style>
  <w:style w:type="character" w:customStyle="1" w:styleId="Heading1Char">
    <w:name w:val="Heading 1 Char"/>
    <w:basedOn w:val="DefaultParagraphFont"/>
    <w:link w:val="Heading1"/>
    <w:uiPriority w:val="9"/>
    <w:rsid w:val="00164813"/>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semiHidden/>
    <w:rsid w:val="00A20C9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648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A20C9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2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6E8"/>
    <w:rPr>
      <w:rFonts w:ascii="Tahoma" w:hAnsi="Tahoma" w:cs="Tahoma"/>
      <w:sz w:val="16"/>
      <w:szCs w:val="16"/>
    </w:rPr>
  </w:style>
  <w:style w:type="paragraph" w:styleId="NormalWeb">
    <w:name w:val="Normal (Web)"/>
    <w:basedOn w:val="Normal"/>
    <w:uiPriority w:val="99"/>
    <w:semiHidden/>
    <w:unhideWhenUsed/>
    <w:rsid w:val="00FC749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4E09AC"/>
    <w:rPr>
      <w:color w:val="0000FF"/>
      <w:u w:val="single"/>
    </w:rPr>
  </w:style>
  <w:style w:type="character" w:customStyle="1" w:styleId="Heading1Char">
    <w:name w:val="Heading 1 Char"/>
    <w:basedOn w:val="DefaultParagraphFont"/>
    <w:link w:val="Heading1"/>
    <w:uiPriority w:val="9"/>
    <w:rsid w:val="00164813"/>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semiHidden/>
    <w:rsid w:val="00A20C9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0230">
      <w:bodyDiv w:val="1"/>
      <w:marLeft w:val="0"/>
      <w:marRight w:val="0"/>
      <w:marTop w:val="0"/>
      <w:marBottom w:val="0"/>
      <w:divBdr>
        <w:top w:val="none" w:sz="0" w:space="0" w:color="auto"/>
        <w:left w:val="none" w:sz="0" w:space="0" w:color="auto"/>
        <w:bottom w:val="none" w:sz="0" w:space="0" w:color="auto"/>
        <w:right w:val="none" w:sz="0" w:space="0" w:color="auto"/>
      </w:divBdr>
    </w:div>
    <w:div w:id="801194550">
      <w:bodyDiv w:val="1"/>
      <w:marLeft w:val="0"/>
      <w:marRight w:val="0"/>
      <w:marTop w:val="0"/>
      <w:marBottom w:val="0"/>
      <w:divBdr>
        <w:top w:val="none" w:sz="0" w:space="0" w:color="auto"/>
        <w:left w:val="none" w:sz="0" w:space="0" w:color="auto"/>
        <w:bottom w:val="none" w:sz="0" w:space="0" w:color="auto"/>
        <w:right w:val="none" w:sz="0" w:space="0" w:color="auto"/>
      </w:divBdr>
    </w:div>
    <w:div w:id="1334918028">
      <w:bodyDiv w:val="1"/>
      <w:marLeft w:val="0"/>
      <w:marRight w:val="0"/>
      <w:marTop w:val="0"/>
      <w:marBottom w:val="0"/>
      <w:divBdr>
        <w:top w:val="none" w:sz="0" w:space="0" w:color="auto"/>
        <w:left w:val="none" w:sz="0" w:space="0" w:color="auto"/>
        <w:bottom w:val="none" w:sz="0" w:space="0" w:color="auto"/>
        <w:right w:val="none" w:sz="0" w:space="0" w:color="auto"/>
      </w:divBdr>
    </w:div>
    <w:div w:id="1726489280">
      <w:bodyDiv w:val="1"/>
      <w:marLeft w:val="0"/>
      <w:marRight w:val="0"/>
      <w:marTop w:val="0"/>
      <w:marBottom w:val="0"/>
      <w:divBdr>
        <w:top w:val="none" w:sz="0" w:space="0" w:color="auto"/>
        <w:left w:val="none" w:sz="0" w:space="0" w:color="auto"/>
        <w:bottom w:val="none" w:sz="0" w:space="0" w:color="auto"/>
        <w:right w:val="none" w:sz="0" w:space="0" w:color="auto"/>
      </w:divBdr>
      <w:divsChild>
        <w:div w:id="999112064">
          <w:marLeft w:val="0"/>
          <w:marRight w:val="0"/>
          <w:marTop w:val="0"/>
          <w:marBottom w:val="0"/>
          <w:divBdr>
            <w:top w:val="none" w:sz="0" w:space="0" w:color="auto"/>
            <w:left w:val="none" w:sz="0" w:space="0" w:color="auto"/>
            <w:bottom w:val="none" w:sz="0" w:space="0" w:color="auto"/>
            <w:right w:val="none" w:sz="0" w:space="0" w:color="auto"/>
          </w:divBdr>
        </w:div>
      </w:divsChild>
    </w:div>
    <w:div w:id="213320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learn.microsoft.com/en-us/training/modules/petabyte-scale-ingestion-azure-data-factory/7-understand-data-ingestion-security-considerations" TargetMode="External"/><Relationship Id="rId27" Type="http://schemas.openxmlformats.org/officeDocument/2006/relationships/hyperlink" Target="https://learn.microsoft.com/en-us/training/modules/code-free-transformation-scale/6-use-wrangling-dat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707</TotalTime>
  <Pages>15</Pages>
  <Words>882</Words>
  <Characters>5031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 sai</dc:creator>
  <cp:keywords/>
  <dc:description/>
  <cp:lastModifiedBy>mitra sai</cp:lastModifiedBy>
  <cp:revision>93</cp:revision>
  <dcterms:created xsi:type="dcterms:W3CDTF">2022-10-08T02:05:00Z</dcterms:created>
  <dcterms:modified xsi:type="dcterms:W3CDTF">2022-10-10T12:51:00Z</dcterms:modified>
</cp:coreProperties>
</file>