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Data Cleaning — Summary of Findings</w:t>
      </w:r>
    </w:p>
    <w:p>
      <w:pPr>
        <w:pStyle w:val="Heading2"/>
      </w:pPr>
      <w:r>
        <w:t xml:space="preserve">1. Final percentage requiring manual clean — latest version, by source column</w:t>
      </w:r>
    </w:p>
    <w:p>
      <w:pPr>
        <w:spacing w:after="200" w:before="80"/>
      </w:pPr>
      <w:r>
        <w:rPr>
          <w:i/>
          <w:iCs/>
          <w:sz w:val="20"/>
          <w:szCs w:val="20"/>
        </w:rPr>
        <w:t xml:space="preserve">Age = age_data_cleaned_v7.xlsx; Average = average_cleaned_v3.xlsx; Proportion = the v9 iteration (file PR6DC3_1.XLS).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3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% requiring manual clean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 — 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 — icu length of stay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Average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AE — hospital length of stay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Average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 — number of participants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 — icu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 — 28d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 — 30d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 — 60d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 — 90d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 — hospital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AF — survival to hospital discharge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 — mechanical ventilation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AH — niv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— ecmo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 — rrt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 — vasopressor/inotropic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 — septic shock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 — respiratory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— 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 — bacterial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AQ — viral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AT/BD/BV — sex (combined)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 — copd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AV/BW — smoking (combined)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 — diabetes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BG — 6 months mortality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Proportion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</w:tbl>
    <w:p>
      <w:pPr>
        <w:spacing w:after="120"/>
      </w:pPr>
    </w:p>
    <w:p>
      <w:pPr>
        <w:spacing w:after="200" w:before="80"/>
      </w:pPr>
      <w:r>
        <w:rPr>
          <w:i/>
          <w:iCs/>
          <w:sz w:val="20"/>
          <w:szCs w:val="20"/>
        </w:rPr>
        <w:t xml:space="preserve">Note: the age dataset's row-identifier numbering does not directly match the source spreadsheet's study number column (verified by matching the underlying age text rather than the ID); the percentage above is unaffected by this, as it is a proportion of total rows, not a row-by-row match.</w:t>
      </w:r>
    </w:p>
    <w:p>
      <w:pPr>
        <w:pStyle w:val="Heading2"/>
      </w:pPr>
      <w:r>
        <w:t xml:space="preserve">2. Age data — iterative comparison (v2 to v7)</w:t>
      </w:r>
    </w:p>
    <w:p>
      <w:pPr>
        <w:spacing w:after="200" w:before="80"/>
      </w:pPr>
      <w:r>
        <w:rPr>
          <w:i/>
          <w:iCs/>
          <w:sz w:val="20"/>
          <w:szCs w:val="20"/>
        </w:rPr>
        <w:t xml:space="preserve">Source column: R — age. A row needs manual review if its row identifier is missing, if age content was present but nothing was extracted (excluding genuine category-only cells such as “adult”), or if a quality flag was triggered.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2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Missing row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Nothing extracted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Flag triggered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Needs manual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 — no flags yet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/ 113 = 2.7%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 — no flags yet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113 / 113 = 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 — no flags yet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/ 113 = 2.7%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 / 113 = 11.5%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 / 113 = 8.0%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 / 113 = 5.3%</w:t>
            </w:r>
          </w:p>
        </w:tc>
      </w:tr>
    </w:tbl>
    <w:p>
      <w:pPr>
        <w:spacing w:after="120"/>
      </w:pPr>
    </w:p>
    <w:p>
      <w:pPr>
        <w:spacing w:after="200" w:before="80"/>
      </w:pPr>
      <w:r>
        <w:rPr>
          <w:i/>
          <w:iCs/>
          <w:sz w:val="20"/>
          <w:szCs w:val="20"/>
        </w:rPr>
        <w:t xml:space="preserve">v2–v4 show low figures because no quality-flag mechanism existed yet, not because fewer issues were present; v3 shows 100% because its row-identifier column is missing entirely. The directly comparable trend is v5 → v6 → v7 (11.5% → 8.0% → 5.3%), where the same detection logic applies throughout.</w:t>
      </w:r>
    </w:p>
    <w:p>
      <w:pPr>
        <w:pStyle w:val="Heading2"/>
      </w:pPr>
      <w:r>
        <w:t xml:space="preserve">3. Average (length of stay) data — iterative comparison (v1 to v3)</w:t>
      </w:r>
    </w:p>
    <w:p>
      <w:pPr>
        <w:spacing w:after="200" w:before="80"/>
      </w:pPr>
      <w:r>
        <w:rPr>
          <w:i/>
          <w:iCs/>
          <w:sz w:val="20"/>
          <w:szCs w:val="20"/>
        </w:rPr>
        <w:t xml:space="preserve">A row needs manual review if no average or dispersion value was extracted despite the cell having content, or if a genuine ambiguity/contradiction flag was triggered (statistic type unspecified, text-only cell, UQR less than LQR, or duplication).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 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 — icu length of stay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16.8%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AE — hospital length of stay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15.9%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Overall (weighted)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16.4%</w:t>
            </w:r>
          </w:p>
        </w:tc>
      </w:tr>
    </w:tbl>
    <w:p>
      <w:pPr>
        <w:spacing w:after="120"/>
      </w:pPr>
    </w:p>
    <w:p>
      <w:pPr>
        <w:spacing w:after="200" w:before="80"/>
      </w:pPr>
      <w:r>
        <w:rPr>
          <w:i/>
          <w:iCs/>
          <w:sz w:val="20"/>
          <w:szCs w:val="20"/>
        </w:rPr>
        <w:t xml:space="preserve">v1 and v2 reach the same overall total, but the underlying cells differ (mainly subgroup-naming changes); v3 shows the genuine improvement. Two rows (study 164 and 166) carry a literal XML artefact in the source text in all three versions, which is responsible for at least one parsing failure.</w:t>
      </w:r>
    </w:p>
    <w:p>
      <w:pPr>
        <w:pStyle w:val="Heading2"/>
      </w:pPr>
      <w:r>
        <w:t xml:space="preserve">4. Proportion data — iterative comparison (v1 to v9)</w:t>
      </w:r>
    </w:p>
    <w:p>
      <w:pPr>
        <w:spacing w:after="200" w:before="80"/>
      </w:pPr>
      <w:r>
        <w:rPr>
          <w:i/>
          <w:iCs/>
          <w:sz w:val="20"/>
          <w:szCs w:val="20"/>
        </w:rPr>
        <w:t xml:space="preserve">A row needs manual review if its study number is missing, if nothing was extracted despite content, if an internal consistency check explicitly failed, or if a check that should have run (because its inputs were present) produced nothing at all.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50"/>
        <w:gridCol w:w="950"/>
        <w:gridCol w:w="950"/>
        <w:gridCol w:w="950"/>
        <w:gridCol w:w="950"/>
        <w:gridCol w:w="950"/>
        <w:gridCol w:w="9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 column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 — number of participants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 — icu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 — 28d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 — 30d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 — 60d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 — 90d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 — hospital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AF — survival to hospital discharge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 — mechanical ventilation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AH — niv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— ecmo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 — rrt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 — vasopressor/inotropic support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 — septic shock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 — respiratory failure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— ards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 — bacterial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AQ — viral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AT/BD/BV — sex (combined)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 — copd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AV/BW — smoking (combined)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 — diabetes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BG — 6 months mortality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Overall (weighted)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3.1%</w:t>
            </w:r>
          </w:p>
        </w:tc>
      </w:tr>
    </w:tbl>
    <w:p>
      <w:pPr>
        <w:spacing w:after="120"/>
      </w:pPr>
    </w:p>
    <w:p>
      <w:pPr>
        <w:spacing w:after="200" w:before="80"/>
      </w:pPr>
      <w:r>
        <w:rPr>
          <w:i/>
          <w:iCs/>
          <w:sz w:val="20"/>
          <w:szCs w:val="20"/>
        </w:rPr>
        <w:t xml:space="preserve">v1 and v2 show 100% because the study number column was blank on every row, and only 4 of 23 sheets existed at that stage (N/A elsewhere). v3 onward is the first usable, fully traceable version. The weighted overall total improves steadily from 3.8% (v3–v5) to 3.1% (v9).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2026-06-25T19:42:54.369Z</dcterms:created>
  <dcterms:modified xsi:type="dcterms:W3CDTF">2026-06-25T19:42:54.369Z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