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4546C" w14:textId="721A427F" w:rsidR="00AA10EB" w:rsidRPr="004014DA" w:rsidRDefault="00AA10EB" w:rsidP="00AE78B3">
      <w:pPr>
        <w:spacing w:after="0" w:line="240" w:lineRule="auto"/>
        <w:jc w:val="center"/>
        <w:rPr>
          <w:rFonts w:ascii="Lato" w:hAnsi="Lato"/>
          <w:b/>
          <w:bCs/>
          <w:color w:val="002060"/>
          <w:sz w:val="28"/>
          <w:szCs w:val="28"/>
        </w:rPr>
      </w:pPr>
      <w:r w:rsidRPr="004014DA">
        <w:rPr>
          <w:rFonts w:ascii="Lato" w:hAnsi="Lato"/>
          <w:b/>
          <w:bCs/>
          <w:color w:val="002060"/>
          <w:sz w:val="28"/>
          <w:szCs w:val="28"/>
        </w:rPr>
        <w:t>POLICY BRIEF</w:t>
      </w:r>
    </w:p>
    <w:p w14:paraId="7F2A1C2B" w14:textId="2925D384" w:rsidR="00B81FC1" w:rsidRPr="0090684A" w:rsidRDefault="006C47BB" w:rsidP="00AE78B3">
      <w:pPr>
        <w:spacing w:after="0" w:line="240" w:lineRule="auto"/>
        <w:jc w:val="center"/>
        <w:rPr>
          <w:rFonts w:ascii="Lato" w:hAnsi="Lato"/>
          <w:b/>
          <w:bCs/>
          <w:color w:val="0070C0"/>
          <w:sz w:val="28"/>
          <w:szCs w:val="28"/>
        </w:rPr>
      </w:pPr>
      <w:r>
        <w:rPr>
          <w:rFonts w:ascii="Lato" w:hAnsi="Lato"/>
          <w:b/>
          <w:bCs/>
          <w:color w:val="0070C0"/>
          <w:sz w:val="28"/>
          <w:szCs w:val="28"/>
        </w:rPr>
        <w:t>Assessing</w:t>
      </w:r>
      <w:r w:rsidR="00D4493B" w:rsidRPr="0090684A">
        <w:rPr>
          <w:rFonts w:ascii="Lato" w:hAnsi="Lato"/>
          <w:b/>
          <w:bCs/>
          <w:color w:val="0070C0"/>
          <w:sz w:val="28"/>
          <w:szCs w:val="28"/>
        </w:rPr>
        <w:t xml:space="preserve"> </w:t>
      </w:r>
      <w:r w:rsidR="0090684A" w:rsidRPr="0090684A">
        <w:rPr>
          <w:rFonts w:ascii="Lato" w:hAnsi="Lato"/>
          <w:b/>
          <w:bCs/>
          <w:color w:val="0070C0"/>
          <w:sz w:val="28"/>
          <w:szCs w:val="28"/>
        </w:rPr>
        <w:t xml:space="preserve">the </w:t>
      </w:r>
      <w:r w:rsidR="009A23F7" w:rsidRPr="0090684A">
        <w:rPr>
          <w:rFonts w:ascii="Lato" w:hAnsi="Lato"/>
          <w:b/>
          <w:bCs/>
          <w:color w:val="0070C0"/>
          <w:sz w:val="28"/>
          <w:szCs w:val="28"/>
        </w:rPr>
        <w:t>Financial Resilience</w:t>
      </w:r>
      <w:r w:rsidR="00D4493B" w:rsidRPr="0090684A">
        <w:rPr>
          <w:rFonts w:ascii="Lato" w:hAnsi="Lato"/>
          <w:b/>
          <w:bCs/>
          <w:color w:val="0070C0"/>
          <w:sz w:val="28"/>
          <w:szCs w:val="28"/>
        </w:rPr>
        <w:t xml:space="preserve"> </w:t>
      </w:r>
      <w:r w:rsidR="0090684A" w:rsidRPr="0090684A">
        <w:rPr>
          <w:rFonts w:ascii="Lato" w:hAnsi="Lato"/>
          <w:b/>
          <w:bCs/>
          <w:color w:val="0070C0"/>
          <w:sz w:val="28"/>
          <w:szCs w:val="28"/>
        </w:rPr>
        <w:t xml:space="preserve">of </w:t>
      </w:r>
      <w:r w:rsidR="00D4493B" w:rsidRPr="0090684A">
        <w:rPr>
          <w:rFonts w:ascii="Lato" w:hAnsi="Lato"/>
          <w:b/>
          <w:bCs/>
          <w:color w:val="0070C0"/>
          <w:sz w:val="28"/>
          <w:szCs w:val="28"/>
        </w:rPr>
        <w:t>Filipinos</w:t>
      </w:r>
      <w:r w:rsidR="00AE78B3" w:rsidRPr="0090684A">
        <w:rPr>
          <w:rStyle w:val="FootnoteReference"/>
          <w:rFonts w:ascii="Lato" w:hAnsi="Lato"/>
          <w:b/>
          <w:bCs/>
          <w:color w:val="0070C0"/>
          <w:sz w:val="28"/>
          <w:szCs w:val="28"/>
        </w:rPr>
        <w:footnoteReference w:id="1"/>
      </w:r>
    </w:p>
    <w:p w14:paraId="368F3B0F" w14:textId="746ACC92" w:rsidR="00966C70" w:rsidRPr="00AE78B3" w:rsidRDefault="00966C70" w:rsidP="00AE78B3">
      <w:pPr>
        <w:spacing w:after="0" w:line="240" w:lineRule="auto"/>
        <w:rPr>
          <w:rFonts w:ascii="Lato" w:hAnsi="Lato"/>
          <w:b/>
          <w:bCs/>
        </w:rPr>
      </w:pPr>
    </w:p>
    <w:p w14:paraId="0D2B51DF" w14:textId="54353EE1" w:rsidR="009A23F7" w:rsidRPr="00AE78B3" w:rsidRDefault="00AA10EB" w:rsidP="00AE78B3">
      <w:pPr>
        <w:spacing w:after="0" w:line="240" w:lineRule="auto"/>
        <w:rPr>
          <w:rFonts w:ascii="Lato" w:hAnsi="Lato"/>
          <w:b/>
          <w:bCs/>
          <w:color w:val="0070C0"/>
        </w:rPr>
      </w:pPr>
      <w:r w:rsidRPr="00AE78B3">
        <w:rPr>
          <w:rFonts w:ascii="Lato" w:hAnsi="Lato"/>
          <w:b/>
          <w:bCs/>
          <w:color w:val="0070C0"/>
        </w:rPr>
        <w:t>Executive Summary</w:t>
      </w:r>
    </w:p>
    <w:p w14:paraId="215469C8" w14:textId="77777777" w:rsidR="00AE78B3" w:rsidRDefault="00AE78B3" w:rsidP="00AE78B3">
      <w:pPr>
        <w:spacing w:after="0" w:line="240" w:lineRule="auto"/>
        <w:rPr>
          <w:rFonts w:ascii="Lato" w:hAnsi="Lato"/>
        </w:rPr>
      </w:pPr>
    </w:p>
    <w:p w14:paraId="1F6FDBD0" w14:textId="7FBC0B12" w:rsidR="009A23F7" w:rsidRPr="00B37322" w:rsidRDefault="00B37322" w:rsidP="00AE78B3">
      <w:pPr>
        <w:spacing w:after="0" w:line="240" w:lineRule="auto"/>
        <w:rPr>
          <w:rFonts w:ascii="Lato" w:hAnsi="Lato"/>
        </w:rPr>
      </w:pPr>
      <w:r>
        <w:rPr>
          <w:rFonts w:ascii="Lato" w:hAnsi="Lato"/>
        </w:rPr>
        <w:t>Despite its economy’s rapid growth pre-pandemic, t</w:t>
      </w:r>
      <w:r w:rsidRPr="00B37322">
        <w:rPr>
          <w:rFonts w:ascii="Lato" w:hAnsi="Lato"/>
        </w:rPr>
        <w:t xml:space="preserve">he </w:t>
      </w:r>
      <w:r>
        <w:rPr>
          <w:rFonts w:ascii="Lato" w:hAnsi="Lato"/>
        </w:rPr>
        <w:t>Philippines continues to suffer from deeply entrenched inequality</w:t>
      </w:r>
      <w:r w:rsidR="00B415C5">
        <w:rPr>
          <w:rFonts w:ascii="Lato" w:hAnsi="Lato"/>
        </w:rPr>
        <w:t xml:space="preserve">. The poorest households are also the most vulnerable to financial and employment shocks caused by the pandemic. To properly focus its poverty alleviation programs, the Philippine government needs to have a better understanding of its financially vulnerable citizens. Using World Bank financial inclusion data from 2017, this policy brief examines financial resilience across age, gender, workforce participation, income, and education. </w:t>
      </w:r>
      <w:r w:rsidR="00BF4904">
        <w:rPr>
          <w:rFonts w:ascii="Lato" w:hAnsi="Lato"/>
        </w:rPr>
        <w:t>T</w:t>
      </w:r>
      <w:r w:rsidR="00B415C5">
        <w:rPr>
          <w:rFonts w:ascii="Lato" w:hAnsi="Lato"/>
        </w:rPr>
        <w:t xml:space="preserve">hese factors paint a broad picture of disparities </w:t>
      </w:r>
      <w:r w:rsidR="00BF4904">
        <w:rPr>
          <w:rFonts w:ascii="Lato" w:hAnsi="Lato"/>
        </w:rPr>
        <w:t xml:space="preserve">in financial security </w:t>
      </w:r>
      <w:r w:rsidR="00B415C5">
        <w:rPr>
          <w:rFonts w:ascii="Lato" w:hAnsi="Lato"/>
        </w:rPr>
        <w:t>across different segments</w:t>
      </w:r>
      <w:r w:rsidR="00BF4904">
        <w:rPr>
          <w:rFonts w:ascii="Lato" w:hAnsi="Lato"/>
        </w:rPr>
        <w:t>. While knowledge of this baseline information may allow policymakers to assess priority areas requiring intervention, a definitive understanding of the financially vulnerable and the appropriate interventions would require the conduct of more granular studies.</w:t>
      </w:r>
    </w:p>
    <w:p w14:paraId="33F736CF" w14:textId="77777777" w:rsidR="00A00B39" w:rsidRPr="00AE78B3" w:rsidRDefault="00A00B39" w:rsidP="00AE78B3">
      <w:pPr>
        <w:pStyle w:val="ListParagraph"/>
        <w:spacing w:after="0" w:line="240" w:lineRule="auto"/>
        <w:ind w:left="0"/>
        <w:rPr>
          <w:rFonts w:ascii="Lato" w:hAnsi="Lato"/>
          <w:b/>
          <w:bCs/>
        </w:rPr>
      </w:pPr>
    </w:p>
    <w:p w14:paraId="53E9619A" w14:textId="15AFC71A" w:rsidR="00A00B39" w:rsidRPr="00AE78B3" w:rsidRDefault="00AA10EB" w:rsidP="00AE78B3">
      <w:pPr>
        <w:spacing w:after="0" w:line="240" w:lineRule="auto"/>
        <w:rPr>
          <w:rFonts w:ascii="Lato" w:hAnsi="Lato"/>
          <w:b/>
          <w:bCs/>
          <w:color w:val="0070C0"/>
        </w:rPr>
      </w:pPr>
      <w:r w:rsidRPr="00AE78B3">
        <w:rPr>
          <w:rFonts w:ascii="Lato" w:hAnsi="Lato"/>
          <w:b/>
          <w:bCs/>
          <w:color w:val="0070C0"/>
        </w:rPr>
        <w:t>Context</w:t>
      </w:r>
    </w:p>
    <w:p w14:paraId="234D525F" w14:textId="77777777" w:rsidR="00AE78B3" w:rsidRDefault="00AE78B3" w:rsidP="00AE78B3">
      <w:pPr>
        <w:spacing w:after="0" w:line="240" w:lineRule="auto"/>
        <w:rPr>
          <w:rFonts w:ascii="Lato" w:hAnsi="Lato"/>
        </w:rPr>
      </w:pPr>
    </w:p>
    <w:p w14:paraId="22B0B7A4" w14:textId="5E7672A2" w:rsidR="005859D8" w:rsidRDefault="00A00B39" w:rsidP="00AE78B3">
      <w:pPr>
        <w:spacing w:after="0" w:line="240" w:lineRule="auto"/>
        <w:rPr>
          <w:rFonts w:ascii="Lato" w:hAnsi="Lato"/>
        </w:rPr>
      </w:pPr>
      <w:r w:rsidRPr="00AE78B3">
        <w:rPr>
          <w:rFonts w:ascii="Lato" w:hAnsi="Lato"/>
        </w:rPr>
        <w:t>The Philippines has benefited from one of the fastest economic growth rates in the world</w:t>
      </w:r>
      <w:r w:rsidR="005859D8">
        <w:rPr>
          <w:rFonts w:ascii="Lato" w:hAnsi="Lato"/>
        </w:rPr>
        <w:t xml:space="preserve"> prior to the COVID-19 pandemic</w:t>
      </w:r>
      <w:r w:rsidRPr="00AE78B3">
        <w:rPr>
          <w:rFonts w:ascii="Lato" w:hAnsi="Lato"/>
        </w:rPr>
        <w:t>. However, that growth has not trickled down</w:t>
      </w:r>
      <w:r w:rsidR="00B96C68">
        <w:rPr>
          <w:rFonts w:ascii="Lato" w:hAnsi="Lato"/>
        </w:rPr>
        <w:t xml:space="preserve"> to </w:t>
      </w:r>
      <w:r w:rsidR="005859D8">
        <w:rPr>
          <w:rFonts w:ascii="Lato" w:hAnsi="Lato"/>
        </w:rPr>
        <w:t xml:space="preserve">citizens </w:t>
      </w:r>
      <w:r w:rsidR="00EC21B6">
        <w:rPr>
          <w:rFonts w:ascii="Lato" w:hAnsi="Lato"/>
        </w:rPr>
        <w:t xml:space="preserve">from the </w:t>
      </w:r>
      <w:r w:rsidR="00B96C68">
        <w:rPr>
          <w:rFonts w:ascii="Lato" w:hAnsi="Lato"/>
        </w:rPr>
        <w:t>lower socioeconomic classes</w:t>
      </w:r>
      <w:r w:rsidRPr="00AE78B3">
        <w:rPr>
          <w:rFonts w:ascii="Lato" w:hAnsi="Lato"/>
        </w:rPr>
        <w:t>. Deeply entrenched inequality persists</w:t>
      </w:r>
      <w:r w:rsidR="005859D8">
        <w:rPr>
          <w:rFonts w:ascii="Lato" w:hAnsi="Lato"/>
        </w:rPr>
        <w:t>. For years, p</w:t>
      </w:r>
      <w:r w:rsidRPr="00AE78B3">
        <w:rPr>
          <w:rFonts w:ascii="Lato" w:hAnsi="Lato"/>
        </w:rPr>
        <w:t xml:space="preserve">olicymakers </w:t>
      </w:r>
      <w:r w:rsidR="005859D8">
        <w:rPr>
          <w:rFonts w:ascii="Lato" w:hAnsi="Lato"/>
        </w:rPr>
        <w:t xml:space="preserve">have contended with the challenge of making </w:t>
      </w:r>
      <w:r w:rsidRPr="00AE78B3">
        <w:rPr>
          <w:rFonts w:ascii="Lato" w:hAnsi="Lato"/>
        </w:rPr>
        <w:t>growth more inclusive for all Filipinos.</w:t>
      </w:r>
      <w:r w:rsidR="005859D8">
        <w:rPr>
          <w:rFonts w:ascii="Lato" w:hAnsi="Lato"/>
        </w:rPr>
        <w:t xml:space="preserve"> Reeling from the pandemic, the country must deal with deepened structural inequalities</w:t>
      </w:r>
      <w:r w:rsidRPr="00AE78B3">
        <w:rPr>
          <w:rFonts w:ascii="Lato" w:hAnsi="Lato"/>
        </w:rPr>
        <w:t xml:space="preserve">, as households with </w:t>
      </w:r>
      <w:r w:rsidR="005859D8">
        <w:rPr>
          <w:rFonts w:ascii="Lato" w:hAnsi="Lato"/>
        </w:rPr>
        <w:t>little to no savings have also been the most vulnerable to job termination during the pandemic</w:t>
      </w:r>
      <w:r w:rsidRPr="00AE78B3">
        <w:rPr>
          <w:rFonts w:ascii="Lato" w:hAnsi="Lato"/>
        </w:rPr>
        <w:t>.</w:t>
      </w:r>
    </w:p>
    <w:p w14:paraId="4159B294" w14:textId="77777777" w:rsidR="005859D8" w:rsidRDefault="005859D8" w:rsidP="00AE78B3">
      <w:pPr>
        <w:spacing w:after="0" w:line="240" w:lineRule="auto"/>
        <w:rPr>
          <w:rFonts w:ascii="Lato" w:hAnsi="Lato"/>
        </w:rPr>
      </w:pPr>
    </w:p>
    <w:p w14:paraId="53161934" w14:textId="37FFA328" w:rsidR="00A00B39" w:rsidRPr="00AE78B3" w:rsidRDefault="00A00B39" w:rsidP="00AE78B3">
      <w:pPr>
        <w:spacing w:after="0" w:line="240" w:lineRule="auto"/>
        <w:rPr>
          <w:rFonts w:ascii="Lato" w:hAnsi="Lato"/>
        </w:rPr>
      </w:pPr>
      <w:r w:rsidRPr="00AE78B3">
        <w:rPr>
          <w:rFonts w:ascii="Lato" w:hAnsi="Lato"/>
        </w:rPr>
        <w:t xml:space="preserve">As an emerging economy, the Philippine government must contend with limited capacity and resources. </w:t>
      </w:r>
      <w:r w:rsidR="005859D8">
        <w:rPr>
          <w:rFonts w:ascii="Lato" w:hAnsi="Lato"/>
        </w:rPr>
        <w:t>It must craft p</w:t>
      </w:r>
      <w:r w:rsidRPr="00AE78B3">
        <w:rPr>
          <w:rFonts w:ascii="Lato" w:hAnsi="Lato"/>
        </w:rPr>
        <w:t>olicies to provide the greatest assistance to those in greatest need. Empowering the vulnerable to achieve financial resilience is key to lifting them out of poverty and helping them stay out of it.</w:t>
      </w:r>
      <w:r w:rsidR="005859D8">
        <w:rPr>
          <w:rFonts w:ascii="Lato" w:hAnsi="Lato"/>
        </w:rPr>
        <w:t xml:space="preserve"> Assessing </w:t>
      </w:r>
      <w:r w:rsidRPr="00AE78B3">
        <w:rPr>
          <w:rFonts w:ascii="Lato" w:hAnsi="Lato"/>
        </w:rPr>
        <w:t xml:space="preserve">important environmental factors that build financial resilience and </w:t>
      </w:r>
      <w:r w:rsidR="005859D8">
        <w:rPr>
          <w:rFonts w:ascii="Lato" w:hAnsi="Lato"/>
        </w:rPr>
        <w:t xml:space="preserve">analyzing </w:t>
      </w:r>
      <w:r w:rsidRPr="00AE78B3">
        <w:rPr>
          <w:rFonts w:ascii="Lato" w:hAnsi="Lato"/>
        </w:rPr>
        <w:t>the characteristics of the financially vulnerable</w:t>
      </w:r>
      <w:r w:rsidR="005859D8">
        <w:rPr>
          <w:rFonts w:ascii="Lato" w:hAnsi="Lato"/>
        </w:rPr>
        <w:t xml:space="preserve"> may aid the creation of </w:t>
      </w:r>
      <w:r w:rsidRPr="00AE78B3">
        <w:rPr>
          <w:rFonts w:ascii="Lato" w:hAnsi="Lato"/>
        </w:rPr>
        <w:t>better targeted interventions to curb the financial insecurity experienced by a significant proportion of the people and help them achieve upward economic mobility</w:t>
      </w:r>
      <w:r w:rsidR="005859D8">
        <w:rPr>
          <w:rFonts w:ascii="Lato" w:hAnsi="Lato"/>
        </w:rPr>
        <w:t>.</w:t>
      </w:r>
    </w:p>
    <w:p w14:paraId="3B0432A6" w14:textId="3B65DD66" w:rsidR="00AE78B3" w:rsidRDefault="00AE78B3" w:rsidP="00AE78B3">
      <w:pPr>
        <w:spacing w:after="0" w:line="240" w:lineRule="auto"/>
        <w:rPr>
          <w:rFonts w:ascii="Lato" w:hAnsi="Lato"/>
          <w:b/>
          <w:bCs/>
        </w:rPr>
      </w:pPr>
    </w:p>
    <w:p w14:paraId="604A82EA" w14:textId="49977CCF" w:rsidR="00D4493B" w:rsidRDefault="00B96C68" w:rsidP="00B96C68">
      <w:pPr>
        <w:spacing w:after="0" w:line="240" w:lineRule="auto"/>
        <w:rPr>
          <w:rFonts w:ascii="Lato" w:hAnsi="Lato"/>
          <w:b/>
          <w:bCs/>
          <w:color w:val="0070C0"/>
        </w:rPr>
      </w:pPr>
      <w:r w:rsidRPr="00144A20">
        <w:rPr>
          <w:rFonts w:ascii="Lato" w:hAnsi="Lato"/>
          <w:b/>
          <w:bCs/>
          <w:color w:val="0070C0"/>
        </w:rPr>
        <w:t xml:space="preserve">Data and </w:t>
      </w:r>
      <w:r w:rsidR="000E299E">
        <w:rPr>
          <w:rFonts w:ascii="Lato" w:hAnsi="Lato"/>
          <w:b/>
          <w:bCs/>
          <w:color w:val="0070C0"/>
        </w:rPr>
        <w:t>Caveats</w:t>
      </w:r>
    </w:p>
    <w:p w14:paraId="5A5608D4" w14:textId="319D9C83" w:rsidR="00D4493B" w:rsidRDefault="00D4493B" w:rsidP="00B96C68">
      <w:pPr>
        <w:spacing w:after="0" w:line="240" w:lineRule="auto"/>
        <w:rPr>
          <w:rFonts w:ascii="Lato" w:hAnsi="Lato"/>
          <w:b/>
          <w:bCs/>
          <w:color w:val="0070C0"/>
        </w:rPr>
      </w:pPr>
    </w:p>
    <w:p w14:paraId="7E053AA9" w14:textId="7513ACD1" w:rsidR="000E299E" w:rsidRDefault="00D4493B" w:rsidP="00B96C68">
      <w:pPr>
        <w:spacing w:after="0" w:line="240" w:lineRule="auto"/>
        <w:rPr>
          <w:rFonts w:ascii="Lato" w:hAnsi="Lato" w:cs="Times New Roman"/>
        </w:rPr>
      </w:pPr>
      <w:r>
        <w:rPr>
          <w:rFonts w:ascii="Lato" w:hAnsi="Lato" w:cs="Times New Roman"/>
        </w:rPr>
        <w:t xml:space="preserve">This policy brief uses the World Bank Global Financial Inclusion (Global Findex) Database for all data visualizations. Global Findex data comes from interviews of 1,000 respondents </w:t>
      </w:r>
      <w:r w:rsidR="000E299E">
        <w:rPr>
          <w:rFonts w:ascii="Lato" w:hAnsi="Lato" w:cs="Times New Roman"/>
        </w:rPr>
        <w:t xml:space="preserve">in the Philippines </w:t>
      </w:r>
      <w:r>
        <w:rPr>
          <w:rFonts w:ascii="Lato" w:hAnsi="Lato" w:cs="Times New Roman"/>
        </w:rPr>
        <w:t>conducted from July to August 2017</w:t>
      </w:r>
      <w:r w:rsidR="000E299E">
        <w:rPr>
          <w:rFonts w:ascii="Lato" w:hAnsi="Lato" w:cs="Times New Roman"/>
        </w:rPr>
        <w:t xml:space="preserve">. It </w:t>
      </w:r>
      <w:r>
        <w:rPr>
          <w:rFonts w:ascii="Lato" w:hAnsi="Lato" w:cs="Times New Roman"/>
        </w:rPr>
        <w:t xml:space="preserve">provides </w:t>
      </w:r>
      <w:r w:rsidRPr="00D4493B">
        <w:rPr>
          <w:rFonts w:ascii="Lato" w:hAnsi="Lato" w:cs="Times New Roman"/>
        </w:rPr>
        <w:t>individual-level information on access, use, and perception of financial services and technologies</w:t>
      </w:r>
      <w:r w:rsidR="00742318">
        <w:rPr>
          <w:rStyle w:val="EndnoteReference"/>
          <w:rFonts w:ascii="Lato" w:hAnsi="Lato" w:cs="Times New Roman"/>
        </w:rPr>
        <w:endnoteReference w:id="1"/>
      </w:r>
      <w:r w:rsidR="00742318">
        <w:rPr>
          <w:rFonts w:ascii="Lato" w:hAnsi="Lato" w:cs="Times New Roman"/>
        </w:rPr>
        <w:t xml:space="preserve">. </w:t>
      </w:r>
      <w:r>
        <w:rPr>
          <w:rFonts w:ascii="Lato" w:hAnsi="Lato" w:cs="Times New Roman"/>
        </w:rPr>
        <w:t xml:space="preserve">The survey also asks about </w:t>
      </w:r>
      <w:r w:rsidRPr="00D4493B">
        <w:rPr>
          <w:rFonts w:ascii="Lato" w:hAnsi="Lato" w:cs="Times New Roman"/>
        </w:rPr>
        <w:t>financial resilience, which i</w:t>
      </w:r>
      <w:r w:rsidR="000E299E">
        <w:rPr>
          <w:rFonts w:ascii="Lato" w:hAnsi="Lato" w:cs="Times New Roman"/>
        </w:rPr>
        <w:t>s</w:t>
      </w:r>
      <w:r w:rsidRPr="00D4493B">
        <w:rPr>
          <w:rFonts w:ascii="Lato" w:hAnsi="Lato" w:cs="Times New Roman"/>
        </w:rPr>
        <w:t xml:space="preserve"> frame</w:t>
      </w:r>
      <w:r w:rsidR="000E299E">
        <w:rPr>
          <w:rFonts w:ascii="Lato" w:hAnsi="Lato" w:cs="Times New Roman"/>
        </w:rPr>
        <w:t>d</w:t>
      </w:r>
      <w:r w:rsidRPr="00D4493B">
        <w:rPr>
          <w:rFonts w:ascii="Lato" w:hAnsi="Lato" w:cs="Times New Roman"/>
        </w:rPr>
        <w:t xml:space="preserve"> as the ability of the respondent to gather emergency funds within the next month amounting to 5% of the Philippine Gross National Income (GNI) per capita. Estimates place this at “4 weeks of pay for an average worker in the Philippines”</w:t>
      </w:r>
      <w:r w:rsidR="00742318">
        <w:rPr>
          <w:rStyle w:val="EndnoteReference"/>
          <w:rFonts w:ascii="Lato" w:hAnsi="Lato" w:cs="Times New Roman"/>
        </w:rPr>
        <w:endnoteReference w:id="2"/>
      </w:r>
      <w:r w:rsidRPr="00D4493B">
        <w:rPr>
          <w:rFonts w:ascii="Lato" w:hAnsi="Lato" w:cs="Times New Roman"/>
        </w:rPr>
        <w:t>.</w:t>
      </w:r>
    </w:p>
    <w:p w14:paraId="3DDB1E7B" w14:textId="77777777" w:rsidR="000E299E" w:rsidRDefault="000E299E" w:rsidP="00B96C68">
      <w:pPr>
        <w:spacing w:after="0" w:line="240" w:lineRule="auto"/>
        <w:rPr>
          <w:rFonts w:ascii="Lato" w:hAnsi="Lato" w:cs="Times New Roman"/>
        </w:rPr>
      </w:pPr>
    </w:p>
    <w:p w14:paraId="34861648" w14:textId="4BE2D203" w:rsidR="00B96C68" w:rsidRDefault="00D4493B" w:rsidP="00B96C68">
      <w:pPr>
        <w:spacing w:after="0" w:line="240" w:lineRule="auto"/>
        <w:rPr>
          <w:rFonts w:ascii="Lato" w:hAnsi="Lato" w:cs="Times New Roman"/>
        </w:rPr>
      </w:pPr>
      <w:r w:rsidRPr="00D4493B">
        <w:rPr>
          <w:rFonts w:ascii="Lato" w:hAnsi="Lato" w:cs="Times New Roman"/>
        </w:rPr>
        <w:t xml:space="preserve">Using the Global Findex dataset to examine the determinants of financial resilience has immediately perceptible limitations in terms of the timeliness of data collection and the narrow </w:t>
      </w:r>
      <w:r w:rsidRPr="00D4493B">
        <w:rPr>
          <w:rFonts w:ascii="Lato" w:hAnsi="Lato" w:cs="Times New Roman"/>
        </w:rPr>
        <w:lastRenderedPageBreak/>
        <w:t>proxy measure for financial resilience.</w:t>
      </w:r>
      <w:r w:rsidR="000E299E">
        <w:rPr>
          <w:rFonts w:ascii="Lato" w:hAnsi="Lato" w:cs="Times New Roman"/>
        </w:rPr>
        <w:t xml:space="preserve"> </w:t>
      </w:r>
      <w:r w:rsidR="000E299E" w:rsidRPr="000E299E">
        <w:rPr>
          <w:rFonts w:ascii="Lato" w:hAnsi="Lato" w:cs="Times New Roman"/>
        </w:rPr>
        <w:t>There may also be concerns of measurement errors due to self-reporting. Nonetheless, conduct</w:t>
      </w:r>
      <w:r w:rsidR="00E72F04">
        <w:rPr>
          <w:rFonts w:ascii="Lato" w:hAnsi="Lato" w:cs="Times New Roman"/>
        </w:rPr>
        <w:t xml:space="preserve">ing </w:t>
      </w:r>
      <w:r w:rsidR="000E299E" w:rsidRPr="000E299E">
        <w:rPr>
          <w:rFonts w:ascii="Lato" w:hAnsi="Lato" w:cs="Times New Roman"/>
        </w:rPr>
        <w:t xml:space="preserve">the interviews in the respondents’ native languages </w:t>
      </w:r>
      <w:r w:rsidR="00E72F04">
        <w:rPr>
          <w:rFonts w:ascii="Lato" w:hAnsi="Lato" w:cs="Times New Roman"/>
        </w:rPr>
        <w:t xml:space="preserve">lessens the risk of </w:t>
      </w:r>
      <w:r w:rsidR="000E299E" w:rsidRPr="000E299E">
        <w:rPr>
          <w:rFonts w:ascii="Lato" w:hAnsi="Lato" w:cs="Times New Roman"/>
        </w:rPr>
        <w:t>misunderstanding and response bias.</w:t>
      </w:r>
    </w:p>
    <w:p w14:paraId="71DA5F97" w14:textId="77777777" w:rsidR="00D4493B" w:rsidRPr="004014DA" w:rsidRDefault="00D4493B" w:rsidP="00B96C68">
      <w:pPr>
        <w:spacing w:after="0" w:line="240" w:lineRule="auto"/>
        <w:rPr>
          <w:rFonts w:ascii="Lato" w:hAnsi="Lato"/>
        </w:rPr>
      </w:pPr>
    </w:p>
    <w:p w14:paraId="54F94BBA" w14:textId="5E18DD46" w:rsidR="00AA10EB" w:rsidRPr="00C860EF" w:rsidRDefault="000D6E69" w:rsidP="00AE78B3">
      <w:pPr>
        <w:spacing w:after="0" w:line="240" w:lineRule="auto"/>
        <w:rPr>
          <w:rFonts w:ascii="Lato" w:hAnsi="Lato"/>
          <w:b/>
          <w:bCs/>
          <w:color w:val="0070C0"/>
        </w:rPr>
      </w:pPr>
      <w:r w:rsidRPr="00C860EF">
        <w:rPr>
          <w:rFonts w:ascii="Lato" w:hAnsi="Lato"/>
          <w:b/>
          <w:bCs/>
          <w:color w:val="0070C0"/>
        </w:rPr>
        <w:t xml:space="preserve">Analysis </w:t>
      </w:r>
      <w:r w:rsidR="00026F1C" w:rsidRPr="00C860EF">
        <w:rPr>
          <w:rFonts w:ascii="Lato" w:hAnsi="Lato"/>
          <w:b/>
          <w:bCs/>
          <w:color w:val="0070C0"/>
        </w:rPr>
        <w:t>&amp; Key Findings</w:t>
      </w:r>
    </w:p>
    <w:p w14:paraId="1C11F63C" w14:textId="4EB9FD94" w:rsidR="00AE78B3" w:rsidRPr="00C860EF" w:rsidRDefault="00AE78B3" w:rsidP="00AE78B3">
      <w:pPr>
        <w:spacing w:after="0" w:line="240" w:lineRule="auto"/>
        <w:rPr>
          <w:rFonts w:ascii="Lato" w:hAnsi="Lato"/>
          <w:b/>
          <w:bCs/>
        </w:rPr>
      </w:pPr>
    </w:p>
    <w:p w14:paraId="66EE0030" w14:textId="34C50C18" w:rsidR="00B1615E" w:rsidRPr="00AE78B3" w:rsidRDefault="00B1615E" w:rsidP="00B1615E">
      <w:pPr>
        <w:spacing w:after="0" w:line="240" w:lineRule="auto"/>
        <w:rPr>
          <w:rFonts w:ascii="Lato" w:hAnsi="Lato" w:cs="Times New Roman"/>
        </w:rPr>
      </w:pPr>
      <w:bookmarkStart w:id="0" w:name="_Hlk86184584"/>
      <w:r w:rsidRPr="00C860EF">
        <w:rPr>
          <w:rFonts w:ascii="Lato" w:hAnsi="Lato" w:cs="Times New Roman"/>
        </w:rPr>
        <w:t>Gender</w:t>
      </w:r>
      <w:r w:rsidRPr="00AE78B3">
        <w:rPr>
          <w:rFonts w:ascii="Lato" w:hAnsi="Lato" w:cs="Times New Roman"/>
        </w:rPr>
        <w:t xml:space="preserve"> gaps have been widely noted in much of financial inclusion literature</w:t>
      </w:r>
      <w:r>
        <w:rPr>
          <w:rStyle w:val="EndnoteReference"/>
          <w:rFonts w:ascii="Lato" w:hAnsi="Lato" w:cs="Times New Roman"/>
        </w:rPr>
        <w:endnoteReference w:id="3"/>
      </w:r>
      <w:r w:rsidRPr="00AE78B3">
        <w:rPr>
          <w:rFonts w:ascii="Lato" w:hAnsi="Lato" w:cs="Times New Roman"/>
        </w:rPr>
        <w:t xml:space="preserve">. </w:t>
      </w:r>
      <w:r w:rsidR="00C860EF">
        <w:rPr>
          <w:rFonts w:ascii="Lato" w:hAnsi="Lato" w:cs="Times New Roman"/>
        </w:rPr>
        <w:t>F</w:t>
      </w:r>
      <w:r>
        <w:rPr>
          <w:rFonts w:ascii="Lato" w:hAnsi="Lato" w:cs="Times New Roman"/>
        </w:rPr>
        <w:t>or the Philippines, a similar gender divide exists</w:t>
      </w:r>
      <w:r w:rsidR="00A02D1F">
        <w:rPr>
          <w:rFonts w:ascii="Lato" w:hAnsi="Lato" w:cs="Times New Roman"/>
        </w:rPr>
        <w:t xml:space="preserve"> </w:t>
      </w:r>
      <w:r w:rsidR="00A02D1F">
        <w:rPr>
          <w:rFonts w:ascii="Lato" w:hAnsi="Lato" w:cs="Times New Roman"/>
        </w:rPr>
        <w:t>(</w:t>
      </w:r>
      <w:r w:rsidR="00A02D1F">
        <w:rPr>
          <w:rFonts w:ascii="Lato" w:hAnsi="Lato" w:cs="Times New Roman"/>
        </w:rPr>
        <w:t xml:space="preserve">see </w:t>
      </w:r>
      <w:r w:rsidR="00A02D1F">
        <w:rPr>
          <w:rFonts w:ascii="Lato" w:hAnsi="Lato" w:cs="Times New Roman"/>
        </w:rPr>
        <w:t>Figure 1)</w:t>
      </w:r>
      <w:r w:rsidR="00A02D1F">
        <w:rPr>
          <w:rFonts w:ascii="Lato" w:hAnsi="Lato" w:cs="Times New Roman"/>
        </w:rPr>
        <w:t xml:space="preserve">. However, the gap is </w:t>
      </w:r>
      <w:r w:rsidRPr="00AE78B3">
        <w:rPr>
          <w:rFonts w:ascii="Lato" w:hAnsi="Lato" w:cs="Times New Roman"/>
        </w:rPr>
        <w:t>less pronounced compared to other country</w:t>
      </w:r>
      <w:r w:rsidR="00C860EF">
        <w:rPr>
          <w:rFonts w:ascii="Lato" w:hAnsi="Lato" w:cs="Times New Roman"/>
        </w:rPr>
        <w:noBreakHyphen/>
      </w:r>
      <w:r w:rsidRPr="00AE78B3">
        <w:rPr>
          <w:rFonts w:ascii="Lato" w:hAnsi="Lato" w:cs="Times New Roman"/>
        </w:rPr>
        <w:t>level studies that have used the Global Findex</w:t>
      </w:r>
      <w:r>
        <w:rPr>
          <w:rStyle w:val="EndnoteReference"/>
          <w:rFonts w:ascii="Lato" w:hAnsi="Lato" w:cs="Times New Roman"/>
        </w:rPr>
        <w:endnoteReference w:id="4"/>
      </w:r>
      <w:r w:rsidR="00A02D1F">
        <w:rPr>
          <w:rFonts w:ascii="Lato" w:hAnsi="Lato" w:cs="Times New Roman"/>
        </w:rPr>
        <w:t>. Nonetheless, the difference between female and male financial resilience becomes noticeably evident in retirement age, as females reported much higher proportions of vulnerability compared to their male counterparts.</w:t>
      </w:r>
    </w:p>
    <w:p w14:paraId="538A280C" w14:textId="49E290A9" w:rsidR="00B1615E" w:rsidRDefault="00B1615E" w:rsidP="00B1615E">
      <w:pPr>
        <w:spacing w:after="0" w:line="240" w:lineRule="auto"/>
        <w:rPr>
          <w:rFonts w:ascii="Lato" w:hAnsi="Lato" w:cs="Times New Roman"/>
        </w:rPr>
      </w:pPr>
    </w:p>
    <w:p w14:paraId="13D47C0A" w14:textId="3DC64C56" w:rsidR="00FD021E" w:rsidRDefault="00C860EF" w:rsidP="00B1615E">
      <w:pPr>
        <w:spacing w:after="0" w:line="240" w:lineRule="auto"/>
        <w:rPr>
          <w:rFonts w:ascii="Lato" w:hAnsi="Lato" w:cs="Times New Roman"/>
        </w:rPr>
      </w:pPr>
      <w:r>
        <w:rPr>
          <w:rFonts w:ascii="Lato" w:hAnsi="Lato"/>
          <w:noProof/>
        </w:rPr>
        <w:drawing>
          <wp:inline distT="0" distB="0" distL="0" distR="0" wp14:anchorId="6DF58027" wp14:editId="188D8B24">
            <wp:extent cx="5943600" cy="2544445"/>
            <wp:effectExtent l="0" t="0" r="0" b="825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4445"/>
                    </a:xfrm>
                    <a:prstGeom prst="rect">
                      <a:avLst/>
                    </a:prstGeom>
                    <a:noFill/>
                    <a:ln>
                      <a:noFill/>
                    </a:ln>
                  </pic:spPr>
                </pic:pic>
              </a:graphicData>
            </a:graphic>
          </wp:inline>
        </w:drawing>
      </w:r>
    </w:p>
    <w:p w14:paraId="5C29C7CB" w14:textId="77777777" w:rsidR="00FD021E" w:rsidRDefault="00FD021E" w:rsidP="00B1615E">
      <w:pPr>
        <w:spacing w:after="0" w:line="240" w:lineRule="auto"/>
        <w:rPr>
          <w:rFonts w:ascii="Lato" w:hAnsi="Lato" w:cs="Times New Roman"/>
        </w:rPr>
      </w:pPr>
    </w:p>
    <w:p w14:paraId="3E8E2D3D" w14:textId="3696DE48" w:rsidR="00AE78B3" w:rsidRDefault="00A02D1F" w:rsidP="00AE78B3">
      <w:pPr>
        <w:spacing w:after="0" w:line="240" w:lineRule="auto"/>
        <w:rPr>
          <w:rFonts w:ascii="Lato" w:hAnsi="Lato" w:cs="Times New Roman"/>
        </w:rPr>
      </w:pPr>
      <w:r>
        <w:rPr>
          <w:rFonts w:ascii="Lato" w:hAnsi="Lato" w:cs="Times New Roman"/>
        </w:rPr>
        <w:t>R</w:t>
      </w:r>
      <w:r w:rsidRPr="00A02D1F">
        <w:rPr>
          <w:rFonts w:ascii="Lato" w:hAnsi="Lato" w:cs="Times New Roman"/>
        </w:rPr>
        <w:t>espondents aged 20 to 40</w:t>
      </w:r>
      <w:r>
        <w:rPr>
          <w:rFonts w:ascii="Lato" w:hAnsi="Lato" w:cs="Times New Roman"/>
        </w:rPr>
        <w:t xml:space="preserve"> appear </w:t>
      </w:r>
      <w:r w:rsidRPr="00A02D1F">
        <w:rPr>
          <w:rFonts w:ascii="Lato" w:hAnsi="Lato" w:cs="Times New Roman"/>
        </w:rPr>
        <w:t>predominantly resilient.</w:t>
      </w:r>
      <w:r>
        <w:rPr>
          <w:rFonts w:ascii="Lato" w:hAnsi="Lato" w:cs="Times New Roman"/>
        </w:rPr>
        <w:t xml:space="preserve"> While a s</w:t>
      </w:r>
      <w:r w:rsidR="00AE78B3" w:rsidRPr="00AE78B3">
        <w:rPr>
          <w:rFonts w:ascii="Lato" w:hAnsi="Lato" w:cs="Times New Roman"/>
        </w:rPr>
        <w:t xml:space="preserve">ignificantly higher percentage of </w:t>
      </w:r>
      <w:r>
        <w:rPr>
          <w:rFonts w:ascii="Lato" w:hAnsi="Lato" w:cs="Times New Roman"/>
        </w:rPr>
        <w:t xml:space="preserve">Filipinos out of </w:t>
      </w:r>
      <w:r w:rsidR="00AE78B3" w:rsidRPr="00AE78B3">
        <w:rPr>
          <w:rFonts w:ascii="Lato" w:hAnsi="Lato" w:cs="Times New Roman"/>
        </w:rPr>
        <w:t>the workforce reported less resilience, those in their late 20s to early 30s</w:t>
      </w:r>
      <w:r>
        <w:rPr>
          <w:rFonts w:ascii="Lato" w:hAnsi="Lato" w:cs="Times New Roman"/>
        </w:rPr>
        <w:t xml:space="preserve"> </w:t>
      </w:r>
      <w:r w:rsidR="00AE78B3" w:rsidRPr="00AE78B3">
        <w:rPr>
          <w:rFonts w:ascii="Lato" w:hAnsi="Lato" w:cs="Times New Roman"/>
        </w:rPr>
        <w:t xml:space="preserve">were significantly more financially resilient than </w:t>
      </w:r>
      <w:r>
        <w:rPr>
          <w:rFonts w:ascii="Lato" w:hAnsi="Lato" w:cs="Times New Roman"/>
        </w:rPr>
        <w:t xml:space="preserve">other groups </w:t>
      </w:r>
      <w:r w:rsidR="00AE78B3" w:rsidRPr="00AE78B3">
        <w:rPr>
          <w:rFonts w:ascii="Lato" w:hAnsi="Lato" w:cs="Times New Roman"/>
        </w:rPr>
        <w:t>– possibly because their exclusion from the labor force is by choice</w:t>
      </w:r>
      <w:r w:rsidR="00AE78B3" w:rsidRPr="00AE78B3">
        <w:rPr>
          <w:rStyle w:val="FootnoteReference"/>
          <w:rFonts w:ascii="Lato" w:hAnsi="Lato" w:cs="Times New Roman"/>
        </w:rPr>
        <w:footnoteReference w:id="2"/>
      </w:r>
      <w:r>
        <w:rPr>
          <w:rFonts w:ascii="Lato" w:hAnsi="Lato" w:cs="Times New Roman"/>
        </w:rPr>
        <w:t xml:space="preserve"> (see Figure 2)</w:t>
      </w:r>
      <w:r w:rsidR="00AE78B3" w:rsidRPr="00AE78B3">
        <w:rPr>
          <w:rFonts w:ascii="Lato" w:hAnsi="Lato" w:cs="Times New Roman"/>
        </w:rPr>
        <w:t>.</w:t>
      </w:r>
    </w:p>
    <w:p w14:paraId="287269CC" w14:textId="77777777" w:rsidR="00AE78B3" w:rsidRPr="00AE78B3" w:rsidRDefault="00AE78B3" w:rsidP="00AE78B3">
      <w:pPr>
        <w:spacing w:after="0" w:line="240" w:lineRule="auto"/>
        <w:rPr>
          <w:rFonts w:ascii="Lato" w:hAnsi="Lato" w:cs="Times New Roman"/>
        </w:rPr>
      </w:pPr>
    </w:p>
    <w:p w14:paraId="6F6A5799" w14:textId="5EFCB1DA" w:rsidR="00AE78B3" w:rsidRPr="00AE78B3" w:rsidRDefault="00A02D1F" w:rsidP="00AE78B3">
      <w:pPr>
        <w:spacing w:after="0" w:line="240" w:lineRule="auto"/>
        <w:jc w:val="center"/>
        <w:rPr>
          <w:rFonts w:ascii="Lato" w:hAnsi="Lato" w:cs="Times New Roman"/>
        </w:rPr>
      </w:pPr>
      <w:r>
        <w:rPr>
          <w:rFonts w:ascii="Lato" w:hAnsi="Lato"/>
          <w:noProof/>
        </w:rPr>
        <w:lastRenderedPageBreak/>
        <w:drawing>
          <wp:inline distT="0" distB="0" distL="0" distR="0" wp14:anchorId="556E2F77" wp14:editId="6266C5F6">
            <wp:extent cx="5943600" cy="2544445"/>
            <wp:effectExtent l="0" t="0" r="0" b="825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4445"/>
                    </a:xfrm>
                    <a:prstGeom prst="rect">
                      <a:avLst/>
                    </a:prstGeom>
                    <a:noFill/>
                    <a:ln>
                      <a:noFill/>
                    </a:ln>
                  </pic:spPr>
                </pic:pic>
              </a:graphicData>
            </a:graphic>
          </wp:inline>
        </w:drawing>
      </w:r>
    </w:p>
    <w:p w14:paraId="5DAF6BA3" w14:textId="0E4E3E97" w:rsidR="00AE78B3" w:rsidRPr="00AE78B3" w:rsidRDefault="00AE78B3" w:rsidP="00AE78B3">
      <w:pPr>
        <w:spacing w:after="0" w:line="240" w:lineRule="auto"/>
        <w:rPr>
          <w:rFonts w:ascii="Lato" w:hAnsi="Lato" w:cs="Times New Roman"/>
        </w:rPr>
      </w:pPr>
    </w:p>
    <w:p w14:paraId="1839836D" w14:textId="0DF62D31" w:rsidR="00AE78B3" w:rsidRDefault="00AE78B3" w:rsidP="00AE78B3">
      <w:pPr>
        <w:spacing w:after="0" w:line="240" w:lineRule="auto"/>
        <w:rPr>
          <w:rFonts w:ascii="Lato" w:hAnsi="Lato" w:cs="Times New Roman"/>
        </w:rPr>
      </w:pPr>
      <w:r w:rsidRPr="00AE78B3">
        <w:rPr>
          <w:rFonts w:ascii="Lato" w:hAnsi="Lato" w:cs="Times New Roman"/>
        </w:rPr>
        <w:t>As expected, richer households tend to report higher financial resilience</w:t>
      </w:r>
      <w:r w:rsidR="00EE72E2">
        <w:rPr>
          <w:rFonts w:ascii="Lato" w:hAnsi="Lato" w:cs="Times New Roman"/>
        </w:rPr>
        <w:t xml:space="preserve"> (see Figure 3).</w:t>
      </w:r>
      <w:r w:rsidRPr="00AE78B3">
        <w:rPr>
          <w:rFonts w:ascii="Lato" w:hAnsi="Lato" w:cs="Times New Roman"/>
        </w:rPr>
        <w:t xml:space="preserve"> </w:t>
      </w:r>
      <w:r w:rsidR="00EE72E2">
        <w:rPr>
          <w:rFonts w:ascii="Lato" w:hAnsi="Lato" w:cs="Times New Roman"/>
        </w:rPr>
        <w:t xml:space="preserve">However, </w:t>
      </w:r>
      <w:r w:rsidRPr="00AE78B3">
        <w:rPr>
          <w:rFonts w:ascii="Lato" w:hAnsi="Lato" w:cs="Times New Roman"/>
        </w:rPr>
        <w:t xml:space="preserve">the proportion of financially </w:t>
      </w:r>
      <w:r w:rsidR="00EE72E2">
        <w:rPr>
          <w:rFonts w:ascii="Lato" w:hAnsi="Lato" w:cs="Times New Roman"/>
        </w:rPr>
        <w:t xml:space="preserve">vulnerable </w:t>
      </w:r>
      <w:r w:rsidRPr="00AE78B3">
        <w:rPr>
          <w:rFonts w:ascii="Lato" w:hAnsi="Lato" w:cs="Times New Roman"/>
        </w:rPr>
        <w:t>among the highest socioeconomic class is a surprising result (at 30%).</w:t>
      </w:r>
      <w:r>
        <w:rPr>
          <w:rFonts w:ascii="Lato" w:hAnsi="Lato" w:cs="Times New Roman"/>
        </w:rPr>
        <w:t xml:space="preserve"> </w:t>
      </w:r>
      <w:r w:rsidRPr="00AE78B3">
        <w:rPr>
          <w:rFonts w:ascii="Lato" w:hAnsi="Lato" w:cs="Times New Roman"/>
        </w:rPr>
        <w:t>Examining the interaction between education and income level</w:t>
      </w:r>
      <w:r w:rsidR="00EE72E2">
        <w:rPr>
          <w:rFonts w:ascii="Lato" w:hAnsi="Lato" w:cs="Times New Roman"/>
        </w:rPr>
        <w:t xml:space="preserve"> shows </w:t>
      </w:r>
      <w:r w:rsidRPr="00AE78B3">
        <w:rPr>
          <w:rFonts w:ascii="Lato" w:hAnsi="Lato" w:cs="Times New Roman"/>
        </w:rPr>
        <w:t>that the educated tend to be more financially resilient. However, they also tend to belong to the higher socioeconomic classes.</w:t>
      </w:r>
    </w:p>
    <w:p w14:paraId="2135B80D" w14:textId="77777777" w:rsidR="00AE78B3" w:rsidRPr="00AE78B3" w:rsidRDefault="00AE78B3" w:rsidP="00AE78B3">
      <w:pPr>
        <w:spacing w:after="0" w:line="240" w:lineRule="auto"/>
        <w:rPr>
          <w:rFonts w:ascii="Lato" w:hAnsi="Lato" w:cs="Times New Roman"/>
        </w:rPr>
      </w:pPr>
    </w:p>
    <w:p w14:paraId="7173B979" w14:textId="62A92C82" w:rsidR="00AE78B3" w:rsidRDefault="00EE72E2" w:rsidP="00AE78B3">
      <w:pPr>
        <w:spacing w:after="0" w:line="240" w:lineRule="auto"/>
        <w:jc w:val="center"/>
        <w:rPr>
          <w:rFonts w:ascii="Lato" w:hAnsi="Lato" w:cs="Times New Roman"/>
        </w:rPr>
      </w:pPr>
      <w:r>
        <w:rPr>
          <w:noProof/>
        </w:rPr>
        <w:drawing>
          <wp:inline distT="0" distB="0" distL="0" distR="0" wp14:anchorId="15488E77" wp14:editId="6CA70838">
            <wp:extent cx="5943600" cy="2832100"/>
            <wp:effectExtent l="0" t="0" r="0" b="635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p>
    <w:p w14:paraId="033A749A" w14:textId="77777777" w:rsidR="00FD06C9" w:rsidRDefault="00FD06C9" w:rsidP="00AE78B3">
      <w:pPr>
        <w:spacing w:after="0" w:line="240" w:lineRule="auto"/>
        <w:rPr>
          <w:rFonts w:ascii="Lato" w:hAnsi="Lato"/>
          <w:b/>
          <w:bCs/>
          <w:color w:val="0070C0"/>
          <w:highlight w:val="yellow"/>
        </w:rPr>
      </w:pPr>
    </w:p>
    <w:p w14:paraId="0081FA04" w14:textId="5DD659A8" w:rsidR="00AA10EB" w:rsidRPr="00AE78B3" w:rsidRDefault="009643B2" w:rsidP="00AE78B3">
      <w:pPr>
        <w:spacing w:after="0" w:line="240" w:lineRule="auto"/>
        <w:rPr>
          <w:rFonts w:ascii="Lato" w:hAnsi="Lato"/>
          <w:b/>
          <w:bCs/>
          <w:color w:val="0070C0"/>
        </w:rPr>
      </w:pPr>
      <w:r w:rsidRPr="00FD06C9">
        <w:rPr>
          <w:rFonts w:ascii="Lato" w:hAnsi="Lato"/>
          <w:b/>
          <w:bCs/>
          <w:color w:val="0070C0"/>
        </w:rPr>
        <w:t xml:space="preserve">Policy </w:t>
      </w:r>
      <w:r w:rsidR="00ED5814" w:rsidRPr="00FD06C9">
        <w:rPr>
          <w:rFonts w:ascii="Lato" w:hAnsi="Lato"/>
          <w:b/>
          <w:bCs/>
          <w:color w:val="0070C0"/>
        </w:rPr>
        <w:t>Implications</w:t>
      </w:r>
    </w:p>
    <w:p w14:paraId="29869111" w14:textId="019FD1E4" w:rsidR="000E299E" w:rsidRDefault="000E299E" w:rsidP="004014DA">
      <w:pPr>
        <w:spacing w:after="0" w:line="240" w:lineRule="auto"/>
        <w:rPr>
          <w:rFonts w:ascii="Lato" w:hAnsi="Lato"/>
        </w:rPr>
      </w:pPr>
    </w:p>
    <w:p w14:paraId="1FD7E653" w14:textId="728299C3" w:rsidR="004014DA" w:rsidRDefault="00FD06C9" w:rsidP="004014DA">
      <w:pPr>
        <w:spacing w:after="0" w:line="240" w:lineRule="auto"/>
        <w:rPr>
          <w:rFonts w:ascii="Lato" w:hAnsi="Lato"/>
        </w:rPr>
      </w:pPr>
      <w:r>
        <w:rPr>
          <w:rFonts w:ascii="Lato" w:hAnsi="Lato"/>
        </w:rPr>
        <w:t xml:space="preserve">As noted in the caveats, </w:t>
      </w:r>
      <w:r w:rsidR="000E299E" w:rsidRPr="000E299E">
        <w:rPr>
          <w:rFonts w:ascii="Lato" w:hAnsi="Lato"/>
        </w:rPr>
        <w:t xml:space="preserve">the validity of </w:t>
      </w:r>
      <w:r>
        <w:rPr>
          <w:rFonts w:ascii="Lato" w:hAnsi="Lato"/>
        </w:rPr>
        <w:t xml:space="preserve">this policy brief’s </w:t>
      </w:r>
      <w:r w:rsidR="000E299E" w:rsidRPr="000E299E">
        <w:rPr>
          <w:rFonts w:ascii="Lato" w:hAnsi="Lato"/>
        </w:rPr>
        <w:t xml:space="preserve">findings </w:t>
      </w:r>
      <w:r>
        <w:rPr>
          <w:rFonts w:ascii="Lato" w:hAnsi="Lato"/>
        </w:rPr>
        <w:t xml:space="preserve">is </w:t>
      </w:r>
      <w:r w:rsidR="000E299E" w:rsidRPr="000E299E">
        <w:rPr>
          <w:rFonts w:ascii="Lato" w:hAnsi="Lato"/>
        </w:rPr>
        <w:t xml:space="preserve">limited by the </w:t>
      </w:r>
      <w:r>
        <w:rPr>
          <w:rFonts w:ascii="Lato" w:hAnsi="Lato"/>
        </w:rPr>
        <w:t xml:space="preserve">survey’s </w:t>
      </w:r>
      <w:r w:rsidR="000E299E" w:rsidRPr="000E299E">
        <w:rPr>
          <w:rFonts w:ascii="Lato" w:hAnsi="Lato"/>
        </w:rPr>
        <w:t xml:space="preserve">narrow proxy measure for financial resilience </w:t>
      </w:r>
      <w:r>
        <w:rPr>
          <w:rFonts w:ascii="Lato" w:hAnsi="Lato"/>
        </w:rPr>
        <w:t xml:space="preserve">as well as its </w:t>
      </w:r>
      <w:r w:rsidR="000E299E" w:rsidRPr="000E299E">
        <w:rPr>
          <w:rFonts w:ascii="Lato" w:hAnsi="Lato"/>
        </w:rPr>
        <w:t>timeliness</w:t>
      </w:r>
      <w:r>
        <w:rPr>
          <w:rFonts w:ascii="Lato" w:hAnsi="Lato"/>
        </w:rPr>
        <w:t xml:space="preserve">. The COVID-19 pandemic has most likely surfaced financial vulnerabilities that would not be apparent at the time of the survey. Thus, the primary </w:t>
      </w:r>
      <w:r w:rsidR="00B96C68" w:rsidRPr="00B96C68">
        <w:rPr>
          <w:rFonts w:ascii="Lato" w:hAnsi="Lato"/>
        </w:rPr>
        <w:t>recommendation</w:t>
      </w:r>
      <w:r>
        <w:rPr>
          <w:rFonts w:ascii="Lato" w:hAnsi="Lato"/>
        </w:rPr>
        <w:t xml:space="preserve"> would be </w:t>
      </w:r>
      <w:r w:rsidR="00B96C68" w:rsidRPr="00B96C68">
        <w:rPr>
          <w:rFonts w:ascii="Lato" w:hAnsi="Lato"/>
        </w:rPr>
        <w:t xml:space="preserve">to </w:t>
      </w:r>
      <w:r>
        <w:rPr>
          <w:rFonts w:ascii="Lato" w:hAnsi="Lato"/>
        </w:rPr>
        <w:t xml:space="preserve">jump off from this baseline information to conduct further </w:t>
      </w:r>
      <w:r w:rsidR="00B96C68" w:rsidRPr="00B96C68">
        <w:rPr>
          <w:rFonts w:ascii="Lato" w:hAnsi="Lato"/>
        </w:rPr>
        <w:t xml:space="preserve">research </w:t>
      </w:r>
      <w:r>
        <w:rPr>
          <w:rFonts w:ascii="Lato" w:hAnsi="Lato"/>
        </w:rPr>
        <w:t>into the drivers of financial resilience and vulnerability.</w:t>
      </w:r>
    </w:p>
    <w:p w14:paraId="1751C31B" w14:textId="36B6A0A0" w:rsidR="00FD06C9" w:rsidRDefault="00FD06C9" w:rsidP="004014DA">
      <w:pPr>
        <w:spacing w:after="0" w:line="240" w:lineRule="auto"/>
        <w:rPr>
          <w:rFonts w:ascii="Lato" w:hAnsi="Lato"/>
        </w:rPr>
      </w:pPr>
    </w:p>
    <w:p w14:paraId="3EB1A80D" w14:textId="617CA13B" w:rsidR="00B37322" w:rsidRDefault="00FD06C9" w:rsidP="00FD06C9">
      <w:pPr>
        <w:spacing w:after="0" w:line="240" w:lineRule="auto"/>
        <w:rPr>
          <w:rFonts w:ascii="Lato" w:hAnsi="Lato"/>
        </w:rPr>
      </w:pPr>
      <w:r>
        <w:rPr>
          <w:rFonts w:ascii="Lato" w:hAnsi="Lato"/>
        </w:rPr>
        <w:lastRenderedPageBreak/>
        <w:t>K</w:t>
      </w:r>
      <w:r w:rsidRPr="00FD06C9">
        <w:rPr>
          <w:rFonts w:ascii="Lato" w:hAnsi="Lato"/>
        </w:rPr>
        <w:t xml:space="preserve">nowledge of this baseline information may </w:t>
      </w:r>
      <w:r>
        <w:rPr>
          <w:rFonts w:ascii="Lato" w:hAnsi="Lato"/>
        </w:rPr>
        <w:t xml:space="preserve">also </w:t>
      </w:r>
      <w:r w:rsidRPr="00FD06C9">
        <w:rPr>
          <w:rFonts w:ascii="Lato" w:hAnsi="Lato"/>
        </w:rPr>
        <w:t>allow policymakers to assess priority areas requiring intervention.</w:t>
      </w:r>
      <w:r>
        <w:rPr>
          <w:rFonts w:ascii="Lato" w:hAnsi="Lato"/>
        </w:rPr>
        <w:t xml:space="preserve"> </w:t>
      </w:r>
      <w:r w:rsidR="00B37322">
        <w:rPr>
          <w:rFonts w:ascii="Lato" w:hAnsi="Lato"/>
        </w:rPr>
        <w:t xml:space="preserve">For instance, </w:t>
      </w:r>
      <w:r w:rsidR="00B37322" w:rsidRPr="00B37322">
        <w:rPr>
          <w:rFonts w:ascii="Lato" w:hAnsi="Lato"/>
        </w:rPr>
        <w:t xml:space="preserve">policymakers could </w:t>
      </w:r>
      <w:r w:rsidR="00B37322">
        <w:rPr>
          <w:rFonts w:ascii="Lato" w:hAnsi="Lato"/>
        </w:rPr>
        <w:t xml:space="preserve">consider designing social safety net </w:t>
      </w:r>
      <w:r w:rsidR="00B37322" w:rsidRPr="00B37322">
        <w:rPr>
          <w:rFonts w:ascii="Lato" w:hAnsi="Lato"/>
        </w:rPr>
        <w:t xml:space="preserve">programs targeted towards improving </w:t>
      </w:r>
      <w:r w:rsidR="00B37322">
        <w:rPr>
          <w:rFonts w:ascii="Lato" w:hAnsi="Lato"/>
        </w:rPr>
        <w:t xml:space="preserve">the financial strength of households </w:t>
      </w:r>
      <w:r w:rsidR="00B37322" w:rsidRPr="00B37322">
        <w:rPr>
          <w:rFonts w:ascii="Lato" w:hAnsi="Lato"/>
        </w:rPr>
        <w:t xml:space="preserve">in the lower </w:t>
      </w:r>
      <w:r w:rsidR="00B37322">
        <w:rPr>
          <w:rFonts w:ascii="Lato" w:hAnsi="Lato"/>
        </w:rPr>
        <w:t xml:space="preserve">income quintiles. </w:t>
      </w:r>
      <w:r w:rsidR="00B37322" w:rsidRPr="00B37322">
        <w:rPr>
          <w:rFonts w:ascii="Lato" w:hAnsi="Lato"/>
        </w:rPr>
        <w:t>Healthcare coverage may also be reassessed to determine the extent of out-of-pocket payment required from poorer beneficiarie</w:t>
      </w:r>
      <w:r w:rsidR="00B37322">
        <w:rPr>
          <w:rFonts w:ascii="Lato" w:hAnsi="Lato"/>
        </w:rPr>
        <w:t>s. E</w:t>
      </w:r>
      <w:r w:rsidR="00B37322" w:rsidRPr="00B37322">
        <w:rPr>
          <w:rFonts w:ascii="Lato" w:hAnsi="Lato"/>
        </w:rPr>
        <w:t xml:space="preserve">nhancing micro-credit opportunities may </w:t>
      </w:r>
      <w:r w:rsidR="00B37322">
        <w:rPr>
          <w:rFonts w:ascii="Lato" w:hAnsi="Lato"/>
        </w:rPr>
        <w:t xml:space="preserve">likewise </w:t>
      </w:r>
      <w:r w:rsidR="00B37322" w:rsidRPr="00B37322">
        <w:rPr>
          <w:rFonts w:ascii="Lato" w:hAnsi="Lato"/>
        </w:rPr>
        <w:t xml:space="preserve">help the entrepreneurial poor tap into additional funding sources that would allow them to earn income and become </w:t>
      </w:r>
      <w:r w:rsidR="00B37322">
        <w:rPr>
          <w:rFonts w:ascii="Lato" w:hAnsi="Lato"/>
        </w:rPr>
        <w:t xml:space="preserve">more </w:t>
      </w:r>
      <w:r w:rsidR="00B37322" w:rsidRPr="00B37322">
        <w:rPr>
          <w:rFonts w:ascii="Lato" w:hAnsi="Lato"/>
        </w:rPr>
        <w:t>self</w:t>
      </w:r>
      <w:r w:rsidR="00B37322">
        <w:rPr>
          <w:rFonts w:ascii="Lato" w:hAnsi="Lato"/>
        </w:rPr>
        <w:noBreakHyphen/>
      </w:r>
      <w:r w:rsidR="00B37322" w:rsidRPr="00B37322">
        <w:rPr>
          <w:rFonts w:ascii="Lato" w:hAnsi="Lato"/>
        </w:rPr>
        <w:t>sufficient</w:t>
      </w:r>
      <w:r w:rsidR="00B37322">
        <w:rPr>
          <w:rFonts w:ascii="Lato" w:hAnsi="Lato"/>
        </w:rPr>
        <w:t>.</w:t>
      </w:r>
    </w:p>
    <w:p w14:paraId="5A0DA3FA" w14:textId="77777777" w:rsidR="00B37322" w:rsidRDefault="00B37322" w:rsidP="00FD06C9">
      <w:pPr>
        <w:spacing w:after="0" w:line="240" w:lineRule="auto"/>
        <w:rPr>
          <w:rFonts w:ascii="Lato" w:hAnsi="Lato"/>
        </w:rPr>
      </w:pPr>
    </w:p>
    <w:p w14:paraId="67C17D65" w14:textId="7D94CB14" w:rsidR="00CF54B1" w:rsidRDefault="00FD06C9" w:rsidP="00FD06C9">
      <w:pPr>
        <w:spacing w:after="0" w:line="240" w:lineRule="auto"/>
        <w:rPr>
          <w:rFonts w:ascii="Lato" w:hAnsi="Lato"/>
        </w:rPr>
      </w:pPr>
      <w:r w:rsidRPr="00FD06C9">
        <w:rPr>
          <w:rFonts w:ascii="Lato" w:hAnsi="Lato"/>
        </w:rPr>
        <w:t xml:space="preserve">To craft appropriate financial inclusion initiatives, policymakers must </w:t>
      </w:r>
      <w:r w:rsidR="00B37322">
        <w:rPr>
          <w:rFonts w:ascii="Lato" w:hAnsi="Lato"/>
        </w:rPr>
        <w:t xml:space="preserve">have a clear and detailed picture of </w:t>
      </w:r>
      <w:r w:rsidRPr="00FD06C9">
        <w:rPr>
          <w:rFonts w:ascii="Lato" w:hAnsi="Lato"/>
        </w:rPr>
        <w:t xml:space="preserve">who the financially excluded are and why they are excluded. </w:t>
      </w:r>
      <w:r w:rsidR="00B37322">
        <w:rPr>
          <w:rFonts w:ascii="Lato" w:hAnsi="Lato"/>
        </w:rPr>
        <w:t>More granular c</w:t>
      </w:r>
      <w:r w:rsidRPr="00FD06C9">
        <w:rPr>
          <w:rFonts w:ascii="Lato" w:hAnsi="Lato"/>
        </w:rPr>
        <w:t>onsumer finance surveys can provide insights into these factors</w:t>
      </w:r>
      <w:r w:rsidR="00B37322">
        <w:rPr>
          <w:rFonts w:ascii="Lato" w:hAnsi="Lato"/>
        </w:rPr>
        <w:t>. A more adequate assessment of f</w:t>
      </w:r>
      <w:r w:rsidR="00B37322" w:rsidRPr="00B37322">
        <w:rPr>
          <w:rFonts w:ascii="Lato" w:hAnsi="Lato"/>
        </w:rPr>
        <w:t>inancial resilience ma</w:t>
      </w:r>
      <w:r w:rsidR="00B37322">
        <w:rPr>
          <w:rFonts w:ascii="Lato" w:hAnsi="Lato"/>
        </w:rPr>
        <w:t xml:space="preserve">y emanate from </w:t>
      </w:r>
      <w:r w:rsidR="00B37322" w:rsidRPr="00B37322">
        <w:rPr>
          <w:rFonts w:ascii="Lato" w:hAnsi="Lato"/>
        </w:rPr>
        <w:t xml:space="preserve">the introduction of additional demographic variables relating to home ownership, employment status, and industry as well as information across </w:t>
      </w:r>
      <w:r w:rsidR="00B37322">
        <w:rPr>
          <w:rFonts w:ascii="Lato" w:hAnsi="Lato"/>
        </w:rPr>
        <w:t xml:space="preserve">other </w:t>
      </w:r>
      <w:r w:rsidR="00B37322" w:rsidRPr="00B37322">
        <w:rPr>
          <w:rFonts w:ascii="Lato" w:hAnsi="Lato"/>
        </w:rPr>
        <w:t>dimensions of financial resilience.</w:t>
      </w:r>
      <w:bookmarkEnd w:id="0"/>
      <w:r w:rsidR="00CF54B1">
        <w:rPr>
          <w:rFonts w:ascii="Lato" w:hAnsi="Lato"/>
        </w:rPr>
        <w:br w:type="page"/>
      </w:r>
    </w:p>
    <w:sectPr w:rsidR="00CF54B1">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810D3" w14:textId="77777777" w:rsidR="00305E15" w:rsidRDefault="00305E15" w:rsidP="00AA10EB">
      <w:pPr>
        <w:spacing w:after="0" w:line="240" w:lineRule="auto"/>
      </w:pPr>
      <w:r>
        <w:separator/>
      </w:r>
    </w:p>
  </w:endnote>
  <w:endnote w:type="continuationSeparator" w:id="0">
    <w:p w14:paraId="2ECE6EB3" w14:textId="77777777" w:rsidR="00305E15" w:rsidRDefault="00305E15" w:rsidP="00AA10EB">
      <w:pPr>
        <w:spacing w:after="0" w:line="240" w:lineRule="auto"/>
      </w:pPr>
      <w:r>
        <w:continuationSeparator/>
      </w:r>
    </w:p>
  </w:endnote>
  <w:endnote w:id="1">
    <w:p w14:paraId="53DF1D4F" w14:textId="1C87A9DE" w:rsidR="00742318" w:rsidRPr="00CF54B1" w:rsidRDefault="00742318">
      <w:pPr>
        <w:pStyle w:val="EndnoteText"/>
        <w:rPr>
          <w:rFonts w:ascii="Lato" w:hAnsi="Lato"/>
          <w:sz w:val="18"/>
          <w:szCs w:val="18"/>
        </w:rPr>
      </w:pPr>
      <w:r w:rsidRPr="00CF54B1">
        <w:rPr>
          <w:rStyle w:val="EndnoteReference"/>
          <w:rFonts w:ascii="Lato" w:hAnsi="Lato"/>
          <w:sz w:val="18"/>
          <w:szCs w:val="18"/>
        </w:rPr>
        <w:endnoteRef/>
      </w:r>
      <w:r w:rsidRPr="00CF54B1">
        <w:rPr>
          <w:rFonts w:ascii="Lato" w:hAnsi="Lato"/>
          <w:sz w:val="18"/>
          <w:szCs w:val="18"/>
        </w:rPr>
        <w:t xml:space="preserve"> </w:t>
      </w:r>
      <w:r w:rsidRPr="00CF54B1">
        <w:rPr>
          <w:rFonts w:ascii="Lato" w:hAnsi="Lato"/>
          <w:sz w:val="18"/>
          <w:szCs w:val="18"/>
        </w:rPr>
        <w:t>Demirgüç-Kunt, Asli, Leora Klapper, Dorothe Singer, Saniya Ansar, and Jake Hess. (2018). The Global Findex Database 2017: Measuring Financial Inclusion and the Fintech Revolution. Washington, DC: World Bank. Ref: PHL_2017_FINDEX_v02_M. Accessed at https://microdata.worldbank.org/index.php/catalog/3311 on 9 March 2021.</w:t>
      </w:r>
    </w:p>
  </w:endnote>
  <w:endnote w:id="2">
    <w:p w14:paraId="0ED9C776" w14:textId="1A7FB06B" w:rsidR="00742318" w:rsidRPr="00CF54B1" w:rsidRDefault="00742318">
      <w:pPr>
        <w:pStyle w:val="EndnoteText"/>
        <w:rPr>
          <w:rFonts w:ascii="Lato" w:hAnsi="Lato"/>
          <w:sz w:val="18"/>
          <w:szCs w:val="18"/>
        </w:rPr>
      </w:pPr>
      <w:r w:rsidRPr="00CF54B1">
        <w:rPr>
          <w:rStyle w:val="EndnoteReference"/>
          <w:rFonts w:ascii="Lato" w:hAnsi="Lato"/>
          <w:sz w:val="18"/>
          <w:szCs w:val="18"/>
        </w:rPr>
        <w:endnoteRef/>
      </w:r>
      <w:r w:rsidRPr="00CF54B1">
        <w:rPr>
          <w:rFonts w:ascii="Lato" w:hAnsi="Lato"/>
          <w:sz w:val="18"/>
          <w:szCs w:val="18"/>
        </w:rPr>
        <w:t xml:space="preserve"> </w:t>
      </w:r>
      <w:r w:rsidRPr="00CF54B1">
        <w:rPr>
          <w:rFonts w:ascii="Lato" w:hAnsi="Lato"/>
          <w:sz w:val="18"/>
          <w:szCs w:val="18"/>
        </w:rPr>
        <w:t>Kempis, M., &amp; Morduch, J. (2020, May 21). How resilient are we? A dive into the global data on how people deal with unexpected shocks. Retrieved March 10, 2021, from https://www.financialaccess.org/blog/2020/5/21/how-resilient-are-we-a-dive-into-the-global-data-on-how-people-deal-with-unexpected-shocks</w:t>
      </w:r>
    </w:p>
  </w:endnote>
  <w:endnote w:id="3">
    <w:p w14:paraId="509B364C" w14:textId="77777777" w:rsidR="00B1615E" w:rsidRPr="00CF54B1" w:rsidRDefault="00B1615E" w:rsidP="00B1615E">
      <w:pPr>
        <w:pStyle w:val="EndnoteText"/>
        <w:rPr>
          <w:rFonts w:ascii="Lato" w:hAnsi="Lato"/>
          <w:sz w:val="18"/>
          <w:szCs w:val="18"/>
        </w:rPr>
      </w:pPr>
      <w:r w:rsidRPr="00CF54B1">
        <w:rPr>
          <w:rStyle w:val="EndnoteReference"/>
          <w:rFonts w:ascii="Lato" w:hAnsi="Lato"/>
          <w:sz w:val="18"/>
          <w:szCs w:val="18"/>
        </w:rPr>
        <w:endnoteRef/>
      </w:r>
      <w:r w:rsidRPr="00CF54B1">
        <w:rPr>
          <w:rFonts w:ascii="Lato" w:hAnsi="Lato"/>
          <w:sz w:val="18"/>
          <w:szCs w:val="18"/>
        </w:rPr>
        <w:t xml:space="preserve"> Sahay, R., &amp; Cihak, M. (2018). Women in Finance: A Case for Closing Gaps. Staff Discussion Notes, 18(05), 1. doi:10.5089/9781484375907.006</w:t>
      </w:r>
    </w:p>
  </w:endnote>
  <w:endnote w:id="4">
    <w:p w14:paraId="6D7EE5A3" w14:textId="77777777" w:rsidR="00B1615E" w:rsidRPr="00CF54B1" w:rsidRDefault="00B1615E" w:rsidP="00B1615E">
      <w:pPr>
        <w:pStyle w:val="EndnoteText"/>
        <w:rPr>
          <w:rFonts w:ascii="Lato" w:hAnsi="Lato"/>
          <w:sz w:val="18"/>
          <w:szCs w:val="18"/>
        </w:rPr>
      </w:pPr>
      <w:r w:rsidRPr="00CF54B1">
        <w:rPr>
          <w:rStyle w:val="EndnoteReference"/>
          <w:rFonts w:ascii="Lato" w:hAnsi="Lato"/>
          <w:sz w:val="18"/>
          <w:szCs w:val="18"/>
        </w:rPr>
        <w:endnoteRef/>
      </w:r>
      <w:r w:rsidRPr="00CF54B1">
        <w:rPr>
          <w:rFonts w:ascii="Lato" w:hAnsi="Lato"/>
          <w:sz w:val="18"/>
          <w:szCs w:val="18"/>
        </w:rPr>
        <w:t xml:space="preserve"> Hussain, A. B., Endut, N., Das, S., Chowdhury, M. T., Haque, N., Sultana, S., &amp; Ahmed, K. J. (2019). Does financial inclusion increase financial resilience? Evidence from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900975977"/>
      <w:docPartObj>
        <w:docPartGallery w:val="Page Numbers (Bottom of Page)"/>
        <w:docPartUnique/>
      </w:docPartObj>
    </w:sdtPr>
    <w:sdtContent>
      <w:sdt>
        <w:sdtPr>
          <w:rPr>
            <w:sz w:val="18"/>
            <w:szCs w:val="18"/>
          </w:rPr>
          <w:id w:val="1728636285"/>
          <w:docPartObj>
            <w:docPartGallery w:val="Page Numbers (Top of Page)"/>
            <w:docPartUnique/>
          </w:docPartObj>
        </w:sdtPr>
        <w:sdtContent>
          <w:p w14:paraId="576B1317" w14:textId="3AF0395A" w:rsidR="00AA10EB" w:rsidRPr="00AA10EB" w:rsidRDefault="00AA10EB">
            <w:pPr>
              <w:pStyle w:val="Footer"/>
              <w:jc w:val="center"/>
              <w:rPr>
                <w:sz w:val="18"/>
                <w:szCs w:val="18"/>
              </w:rPr>
            </w:pPr>
            <w:r w:rsidRPr="00AA10EB">
              <w:rPr>
                <w:sz w:val="18"/>
                <w:szCs w:val="18"/>
              </w:rPr>
              <w:t xml:space="preserve">Page </w:t>
            </w:r>
            <w:r w:rsidRPr="00AA10EB">
              <w:rPr>
                <w:b/>
                <w:bCs/>
                <w:sz w:val="18"/>
                <w:szCs w:val="18"/>
              </w:rPr>
              <w:fldChar w:fldCharType="begin"/>
            </w:r>
            <w:r w:rsidRPr="00AA10EB">
              <w:rPr>
                <w:b/>
                <w:bCs/>
                <w:sz w:val="18"/>
                <w:szCs w:val="18"/>
              </w:rPr>
              <w:instrText xml:space="preserve"> PAGE </w:instrText>
            </w:r>
            <w:r w:rsidRPr="00AA10EB">
              <w:rPr>
                <w:b/>
                <w:bCs/>
                <w:sz w:val="18"/>
                <w:szCs w:val="18"/>
              </w:rPr>
              <w:fldChar w:fldCharType="separate"/>
            </w:r>
            <w:r w:rsidRPr="00AA10EB">
              <w:rPr>
                <w:b/>
                <w:bCs/>
                <w:noProof/>
                <w:sz w:val="18"/>
                <w:szCs w:val="18"/>
              </w:rPr>
              <w:t>2</w:t>
            </w:r>
            <w:r w:rsidRPr="00AA10EB">
              <w:rPr>
                <w:b/>
                <w:bCs/>
                <w:sz w:val="18"/>
                <w:szCs w:val="18"/>
              </w:rPr>
              <w:fldChar w:fldCharType="end"/>
            </w:r>
            <w:r w:rsidRPr="00AA10EB">
              <w:rPr>
                <w:sz w:val="18"/>
                <w:szCs w:val="18"/>
              </w:rPr>
              <w:t xml:space="preserve"> of </w:t>
            </w:r>
            <w:r w:rsidRPr="00AA10EB">
              <w:rPr>
                <w:b/>
                <w:bCs/>
                <w:sz w:val="18"/>
                <w:szCs w:val="18"/>
              </w:rPr>
              <w:fldChar w:fldCharType="begin"/>
            </w:r>
            <w:r w:rsidRPr="00AA10EB">
              <w:rPr>
                <w:b/>
                <w:bCs/>
                <w:sz w:val="18"/>
                <w:szCs w:val="18"/>
              </w:rPr>
              <w:instrText xml:space="preserve"> NUMPAGES  </w:instrText>
            </w:r>
            <w:r w:rsidRPr="00AA10EB">
              <w:rPr>
                <w:b/>
                <w:bCs/>
                <w:sz w:val="18"/>
                <w:szCs w:val="18"/>
              </w:rPr>
              <w:fldChar w:fldCharType="separate"/>
            </w:r>
            <w:r w:rsidRPr="00AA10EB">
              <w:rPr>
                <w:b/>
                <w:bCs/>
                <w:noProof/>
                <w:sz w:val="18"/>
                <w:szCs w:val="18"/>
              </w:rPr>
              <w:t>2</w:t>
            </w:r>
            <w:r w:rsidRPr="00AA10EB">
              <w:rPr>
                <w:b/>
                <w:bCs/>
                <w:sz w:val="18"/>
                <w:szCs w:val="18"/>
              </w:rPr>
              <w:fldChar w:fldCharType="end"/>
            </w:r>
          </w:p>
        </w:sdtContent>
      </w:sdt>
    </w:sdtContent>
  </w:sdt>
  <w:p w14:paraId="3CFC1E14" w14:textId="77777777" w:rsidR="00AA10EB" w:rsidRPr="00AA10EB" w:rsidRDefault="00AA10EB">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0B72C" w14:textId="77777777" w:rsidR="00305E15" w:rsidRDefault="00305E15" w:rsidP="00AA10EB">
      <w:pPr>
        <w:spacing w:after="0" w:line="240" w:lineRule="auto"/>
      </w:pPr>
      <w:r>
        <w:separator/>
      </w:r>
    </w:p>
  </w:footnote>
  <w:footnote w:type="continuationSeparator" w:id="0">
    <w:p w14:paraId="1BCBACCA" w14:textId="77777777" w:rsidR="00305E15" w:rsidRDefault="00305E15" w:rsidP="00AA10EB">
      <w:pPr>
        <w:spacing w:after="0" w:line="240" w:lineRule="auto"/>
      </w:pPr>
      <w:r>
        <w:continuationSeparator/>
      </w:r>
    </w:p>
  </w:footnote>
  <w:footnote w:id="1">
    <w:p w14:paraId="79498BF4" w14:textId="182238C7" w:rsidR="00AE78B3" w:rsidRPr="00AE78B3" w:rsidRDefault="00AE78B3">
      <w:pPr>
        <w:pStyle w:val="FootnoteText"/>
        <w:rPr>
          <w:rFonts w:ascii="Lato" w:hAnsi="Lato"/>
          <w:sz w:val="18"/>
          <w:szCs w:val="18"/>
        </w:rPr>
      </w:pPr>
      <w:r w:rsidRPr="00AE78B3">
        <w:rPr>
          <w:rStyle w:val="FootnoteReference"/>
          <w:rFonts w:ascii="Lato" w:hAnsi="Lato"/>
          <w:sz w:val="18"/>
          <w:szCs w:val="18"/>
        </w:rPr>
        <w:footnoteRef/>
      </w:r>
      <w:r w:rsidRPr="00AE78B3">
        <w:rPr>
          <w:rFonts w:ascii="Lato" w:hAnsi="Lato"/>
          <w:sz w:val="18"/>
          <w:szCs w:val="18"/>
        </w:rPr>
        <w:t xml:space="preserve"> Author: Mary Kryslette C. Bunyi, MS in Data Science for Public Policy Student, Georgetown University</w:t>
      </w:r>
    </w:p>
  </w:footnote>
  <w:footnote w:id="2">
    <w:p w14:paraId="7C954489" w14:textId="4C8B046E" w:rsidR="00AE78B3" w:rsidRPr="00AE78B3" w:rsidRDefault="00AE78B3" w:rsidP="00AE78B3">
      <w:pPr>
        <w:pStyle w:val="FootnoteText"/>
        <w:rPr>
          <w:rFonts w:ascii="Lato" w:hAnsi="Lato" w:cs="Times New Roman"/>
          <w:sz w:val="18"/>
          <w:szCs w:val="18"/>
        </w:rPr>
      </w:pPr>
      <w:r w:rsidRPr="00AE78B3">
        <w:rPr>
          <w:rStyle w:val="FootnoteReference"/>
          <w:rFonts w:ascii="Lato" w:hAnsi="Lato" w:cs="Times New Roman"/>
          <w:sz w:val="18"/>
          <w:szCs w:val="18"/>
        </w:rPr>
        <w:footnoteRef/>
      </w:r>
      <w:r w:rsidRPr="00AE78B3">
        <w:rPr>
          <w:rFonts w:ascii="Lato" w:hAnsi="Lato" w:cs="Times New Roman"/>
          <w:sz w:val="18"/>
          <w:szCs w:val="18"/>
        </w:rPr>
        <w:t xml:space="preserve"> The labor force comprises both the employed and the unemployed job</w:t>
      </w:r>
      <w:r w:rsidR="00CF54B1">
        <w:rPr>
          <w:rFonts w:ascii="Lato" w:hAnsi="Lato" w:cs="Times New Roman"/>
          <w:sz w:val="18"/>
          <w:szCs w:val="18"/>
        </w:rPr>
        <w:t xml:space="preserve"> </w:t>
      </w:r>
      <w:r w:rsidRPr="00AE78B3">
        <w:rPr>
          <w:rFonts w:ascii="Lato" w:hAnsi="Lato" w:cs="Times New Roman"/>
          <w:sz w:val="18"/>
          <w:szCs w:val="18"/>
        </w:rPr>
        <w:t>seekers. It excludes unpaid workers, family workers, and students. (Source: World Bank via https://data.worldbank.org/indicator/SL.TLF.TOTL.IN)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236"/>
    <w:multiLevelType w:val="hybridMultilevel"/>
    <w:tmpl w:val="7F86DC44"/>
    <w:lvl w:ilvl="0" w:tplc="7ABA98CE">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5AD096B"/>
    <w:multiLevelType w:val="hybridMultilevel"/>
    <w:tmpl w:val="D1F2ECAC"/>
    <w:lvl w:ilvl="0" w:tplc="698CAE44">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EB"/>
    <w:rsid w:val="00026F1C"/>
    <w:rsid w:val="00092F3A"/>
    <w:rsid w:val="000D6E69"/>
    <w:rsid w:val="000E299E"/>
    <w:rsid w:val="00144A20"/>
    <w:rsid w:val="00160873"/>
    <w:rsid w:val="003049CF"/>
    <w:rsid w:val="00305E15"/>
    <w:rsid w:val="003D402A"/>
    <w:rsid w:val="003D4B5A"/>
    <w:rsid w:val="004014DA"/>
    <w:rsid w:val="005859D8"/>
    <w:rsid w:val="00605506"/>
    <w:rsid w:val="0065112C"/>
    <w:rsid w:val="006C47BB"/>
    <w:rsid w:val="00742318"/>
    <w:rsid w:val="0075141F"/>
    <w:rsid w:val="007C0658"/>
    <w:rsid w:val="007D06E8"/>
    <w:rsid w:val="007D106D"/>
    <w:rsid w:val="007E606A"/>
    <w:rsid w:val="00862E3A"/>
    <w:rsid w:val="0090684A"/>
    <w:rsid w:val="009643B2"/>
    <w:rsid w:val="00966C70"/>
    <w:rsid w:val="009A23F7"/>
    <w:rsid w:val="009A385D"/>
    <w:rsid w:val="00A00B39"/>
    <w:rsid w:val="00A02D1F"/>
    <w:rsid w:val="00A12732"/>
    <w:rsid w:val="00A30DAF"/>
    <w:rsid w:val="00AA10EB"/>
    <w:rsid w:val="00AE78B3"/>
    <w:rsid w:val="00B1615E"/>
    <w:rsid w:val="00B37322"/>
    <w:rsid w:val="00B415C5"/>
    <w:rsid w:val="00B81FC1"/>
    <w:rsid w:val="00B96C68"/>
    <w:rsid w:val="00BF4904"/>
    <w:rsid w:val="00C23EA2"/>
    <w:rsid w:val="00C50778"/>
    <w:rsid w:val="00C860EF"/>
    <w:rsid w:val="00CF54B1"/>
    <w:rsid w:val="00D4493B"/>
    <w:rsid w:val="00D44FCA"/>
    <w:rsid w:val="00D70B05"/>
    <w:rsid w:val="00D83E36"/>
    <w:rsid w:val="00DB1D13"/>
    <w:rsid w:val="00E72F04"/>
    <w:rsid w:val="00EC21B6"/>
    <w:rsid w:val="00ED5814"/>
    <w:rsid w:val="00EE72E2"/>
    <w:rsid w:val="00EF41DC"/>
    <w:rsid w:val="00FD021E"/>
    <w:rsid w:val="00FD06C9"/>
    <w:rsid w:val="00FD62FD"/>
    <w:rsid w:val="00FF07BE"/>
    <w:rsid w:val="00FF65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27D5"/>
  <w15:chartTrackingRefBased/>
  <w15:docId w15:val="{C0EE75CD-7FBE-4BD2-9567-D41987E1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0EB"/>
  </w:style>
  <w:style w:type="paragraph" w:styleId="Footer">
    <w:name w:val="footer"/>
    <w:basedOn w:val="Normal"/>
    <w:link w:val="FooterChar"/>
    <w:uiPriority w:val="99"/>
    <w:unhideWhenUsed/>
    <w:rsid w:val="00AA1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0EB"/>
  </w:style>
  <w:style w:type="paragraph" w:styleId="ListParagraph">
    <w:name w:val="List Paragraph"/>
    <w:basedOn w:val="Normal"/>
    <w:uiPriority w:val="34"/>
    <w:qFormat/>
    <w:rsid w:val="00AA10EB"/>
    <w:pPr>
      <w:ind w:left="720"/>
      <w:contextualSpacing/>
    </w:pPr>
  </w:style>
  <w:style w:type="character" w:styleId="Hyperlink">
    <w:name w:val="Hyperlink"/>
    <w:basedOn w:val="DefaultParagraphFont"/>
    <w:uiPriority w:val="99"/>
    <w:unhideWhenUsed/>
    <w:rsid w:val="003049CF"/>
    <w:rPr>
      <w:color w:val="0563C1" w:themeColor="hyperlink"/>
      <w:u w:val="single"/>
    </w:rPr>
  </w:style>
  <w:style w:type="character" w:styleId="UnresolvedMention">
    <w:name w:val="Unresolved Mention"/>
    <w:basedOn w:val="DefaultParagraphFont"/>
    <w:uiPriority w:val="99"/>
    <w:semiHidden/>
    <w:unhideWhenUsed/>
    <w:rsid w:val="003049CF"/>
    <w:rPr>
      <w:color w:val="605E5C"/>
      <w:shd w:val="clear" w:color="auto" w:fill="E1DFDD"/>
    </w:rPr>
  </w:style>
  <w:style w:type="paragraph" w:styleId="FootnoteText">
    <w:name w:val="footnote text"/>
    <w:basedOn w:val="Normal"/>
    <w:link w:val="FootnoteTextChar"/>
    <w:uiPriority w:val="99"/>
    <w:semiHidden/>
    <w:unhideWhenUsed/>
    <w:rsid w:val="00AE78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78B3"/>
    <w:rPr>
      <w:sz w:val="20"/>
      <w:szCs w:val="20"/>
    </w:rPr>
  </w:style>
  <w:style w:type="character" w:styleId="FootnoteReference">
    <w:name w:val="footnote reference"/>
    <w:basedOn w:val="DefaultParagraphFont"/>
    <w:uiPriority w:val="99"/>
    <w:semiHidden/>
    <w:unhideWhenUsed/>
    <w:rsid w:val="00AE78B3"/>
    <w:rPr>
      <w:vertAlign w:val="superscript"/>
    </w:rPr>
  </w:style>
  <w:style w:type="table" w:styleId="PlainTable5">
    <w:name w:val="Plain Table 5"/>
    <w:basedOn w:val="TableNormal"/>
    <w:uiPriority w:val="45"/>
    <w:rsid w:val="00AE78B3"/>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AE78B3"/>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7423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2318"/>
    <w:rPr>
      <w:sz w:val="20"/>
      <w:szCs w:val="20"/>
    </w:rPr>
  </w:style>
  <w:style w:type="character" w:styleId="EndnoteReference">
    <w:name w:val="endnote reference"/>
    <w:basedOn w:val="DefaultParagraphFont"/>
    <w:uiPriority w:val="99"/>
    <w:semiHidden/>
    <w:unhideWhenUsed/>
    <w:rsid w:val="007423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9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37FDB-DF7E-4BFC-8097-7DE90B8EC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5</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MKB</dc:creator>
  <cp:keywords/>
  <dc:description/>
  <cp:lastModifiedBy>MKB</cp:lastModifiedBy>
  <cp:revision>42</cp:revision>
  <cp:lastPrinted>2021-10-27T03:59:00Z</cp:lastPrinted>
  <dcterms:created xsi:type="dcterms:W3CDTF">2021-10-26T03:23:00Z</dcterms:created>
  <dcterms:modified xsi:type="dcterms:W3CDTF">2021-10-27T04:00:00Z</dcterms:modified>
</cp:coreProperties>
</file>