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7324" w:rsidRPr="00F53CD7" w:rsidRDefault="004B7324" w:rsidP="00BF5612">
      <w:pPr>
        <w:pStyle w:val="Ttulo1"/>
        <w:jc w:val="both"/>
      </w:pPr>
      <w:r w:rsidRPr="00F53CD7">
        <w:t>1.</w:t>
      </w:r>
      <w:r w:rsidRPr="00F53CD7">
        <w:tab/>
        <w:t>OBJETIVO</w:t>
      </w:r>
    </w:p>
    <w:p w:rsidR="004B7324" w:rsidRPr="00F53CD7" w:rsidRDefault="004B7324" w:rsidP="00BF5612">
      <w:pPr>
        <w:spacing w:after="120"/>
        <w:jc w:val="both"/>
      </w:pPr>
      <w:r w:rsidRPr="00F53CD7">
        <w:t xml:space="preserve">Establecer los requisitos mínimos para la autorización de </w:t>
      </w:r>
      <w:r w:rsidR="00AB3C0C" w:rsidRPr="00F53CD7">
        <w:t xml:space="preserve">trabajos </w:t>
      </w:r>
      <w:r w:rsidRPr="00F53CD7">
        <w:t xml:space="preserve">que involucren la manipulación o </w:t>
      </w:r>
      <w:r w:rsidR="00AB3C0C" w:rsidRPr="00F53CD7">
        <w:t xml:space="preserve">la </w:t>
      </w:r>
      <w:r w:rsidRPr="00F53CD7">
        <w:t xml:space="preserve">exposición a productos químicos, en actividades que no </w:t>
      </w:r>
      <w:r w:rsidR="00AB3C0C" w:rsidRPr="00F53CD7">
        <w:t>sean</w:t>
      </w:r>
      <w:r w:rsidRPr="00F53CD7">
        <w:t xml:space="preserve"> rutinarias y por parte del operador “</w:t>
      </w:r>
      <w:r w:rsidR="0038494F">
        <w:t>dueño</w:t>
      </w:r>
      <w:r w:rsidRPr="00F53CD7">
        <w:t xml:space="preserve"> del área”.</w:t>
      </w:r>
    </w:p>
    <w:p w:rsidR="004B7324" w:rsidRPr="00F53CD7" w:rsidRDefault="004B7324" w:rsidP="00BF5612">
      <w:pPr>
        <w:pStyle w:val="Ttulo1"/>
        <w:jc w:val="both"/>
      </w:pPr>
      <w:r w:rsidRPr="00F53CD7">
        <w:t>2.</w:t>
      </w:r>
      <w:r w:rsidRPr="00F53CD7">
        <w:tab/>
      </w:r>
      <w:r w:rsidR="00F53CD7" w:rsidRPr="00F53CD7">
        <w:t>ALCANCE</w:t>
      </w:r>
      <w:r w:rsidRPr="00F53CD7">
        <w:t xml:space="preserve"> </w:t>
      </w:r>
    </w:p>
    <w:p w:rsidR="00270D34" w:rsidRPr="00664F56" w:rsidRDefault="004B7324" w:rsidP="00BF5612">
      <w:pPr>
        <w:spacing w:after="120"/>
        <w:jc w:val="both"/>
      </w:pPr>
      <w:r w:rsidRPr="00F53CD7">
        <w:t>Este procedimiento es aplicable</w:t>
      </w:r>
      <w:r w:rsidR="00270D34">
        <w:t xml:space="preserve"> </w:t>
      </w:r>
      <w:r w:rsidR="00664F56">
        <w:t xml:space="preserve">a todo el personal de </w:t>
      </w:r>
      <w:r w:rsidRPr="00F53CD7">
        <w:t>CMPC</w:t>
      </w:r>
      <w:r w:rsidR="00270D34">
        <w:t xml:space="preserve"> Pulp SpA</w:t>
      </w:r>
      <w:r w:rsidRPr="00F53CD7">
        <w:t xml:space="preserve"> y de las empresas contratistas</w:t>
      </w:r>
      <w:r w:rsidR="00877D4D">
        <w:rPr>
          <w:strike/>
          <w:color w:val="FF0000"/>
        </w:rPr>
        <w:t>.</w:t>
      </w:r>
    </w:p>
    <w:p w:rsidR="004B7324" w:rsidRPr="00664F56" w:rsidRDefault="00F31ECF" w:rsidP="00BF5612">
      <w:pPr>
        <w:pStyle w:val="Ttulo1"/>
        <w:jc w:val="both"/>
      </w:pPr>
      <w:r>
        <w:t>3</w:t>
      </w:r>
      <w:r w:rsidR="004B7324" w:rsidRPr="00664F56">
        <w:t>.</w:t>
      </w:r>
      <w:r w:rsidR="004B7324" w:rsidRPr="00664F56">
        <w:tab/>
        <w:t>DEFINICIONES</w:t>
      </w: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4B7324" w:rsidRPr="00664F56" w:rsidTr="004B7324">
        <w:tc>
          <w:tcPr>
            <w:tcW w:w="3116" w:type="dxa"/>
          </w:tcPr>
          <w:p w:rsidR="004B7324" w:rsidRPr="00664F56" w:rsidRDefault="004B7324" w:rsidP="00BF5612">
            <w:pPr>
              <w:spacing w:after="120"/>
              <w:jc w:val="both"/>
              <w:rPr>
                <w:b/>
              </w:rPr>
            </w:pPr>
            <w:r w:rsidRPr="00664F56">
              <w:rPr>
                <w:b/>
              </w:rPr>
              <w:t>AST</w:t>
            </w:r>
          </w:p>
        </w:tc>
        <w:tc>
          <w:tcPr>
            <w:tcW w:w="6239" w:type="dxa"/>
          </w:tcPr>
          <w:p w:rsidR="004B7324" w:rsidRPr="00664F56" w:rsidRDefault="004B7324" w:rsidP="00BF5612">
            <w:pPr>
              <w:spacing w:after="120"/>
              <w:jc w:val="both"/>
            </w:pPr>
            <w:r w:rsidRPr="00664F56">
              <w:t>Análisis de Seguridad de la Tarea</w:t>
            </w:r>
          </w:p>
        </w:tc>
      </w:tr>
      <w:tr w:rsidR="004B7324" w:rsidRPr="00664F56" w:rsidTr="004B7324">
        <w:tc>
          <w:tcPr>
            <w:tcW w:w="3116" w:type="dxa"/>
          </w:tcPr>
          <w:p w:rsidR="004B7324" w:rsidRPr="00C442CB" w:rsidRDefault="00CB5E5B" w:rsidP="00BF5612">
            <w:pPr>
              <w:spacing w:after="120"/>
              <w:jc w:val="both"/>
              <w:rPr>
                <w:b/>
                <w:lang w:val="en-US"/>
              </w:rPr>
            </w:pPr>
            <w:r w:rsidRPr="00C442CB">
              <w:rPr>
                <w:b/>
                <w:lang w:val="en-US"/>
              </w:rPr>
              <w:t>HDS</w:t>
            </w:r>
          </w:p>
        </w:tc>
        <w:tc>
          <w:tcPr>
            <w:tcW w:w="6239" w:type="dxa"/>
          </w:tcPr>
          <w:p w:rsidR="004B7324" w:rsidRPr="00664F56" w:rsidRDefault="004B7324" w:rsidP="00BF5612">
            <w:pPr>
              <w:spacing w:after="120"/>
              <w:jc w:val="both"/>
            </w:pPr>
            <w:r w:rsidRPr="00664F56">
              <w:t>Hoja de Datos de Seguridad del Material</w:t>
            </w:r>
          </w:p>
        </w:tc>
      </w:tr>
      <w:tr w:rsidR="004B7324" w:rsidRPr="00F53CD7" w:rsidTr="004B7324">
        <w:tc>
          <w:tcPr>
            <w:tcW w:w="3116" w:type="dxa"/>
          </w:tcPr>
          <w:p w:rsidR="004B7324" w:rsidRPr="00664F56" w:rsidRDefault="004B7324" w:rsidP="00BF5612">
            <w:pPr>
              <w:spacing w:after="120"/>
              <w:jc w:val="both"/>
              <w:rPr>
                <w:b/>
              </w:rPr>
            </w:pPr>
            <w:r w:rsidRPr="00664F56">
              <w:rPr>
                <w:b/>
              </w:rPr>
              <w:t>Fraccionamiento</w:t>
            </w:r>
          </w:p>
        </w:tc>
        <w:tc>
          <w:tcPr>
            <w:tcW w:w="6239" w:type="dxa"/>
          </w:tcPr>
          <w:p w:rsidR="004B7324" w:rsidRPr="00F53CD7" w:rsidRDefault="004B7324" w:rsidP="00BF5612">
            <w:pPr>
              <w:spacing w:after="120"/>
              <w:jc w:val="both"/>
            </w:pPr>
            <w:r w:rsidRPr="00664F56">
              <w:t>División</w:t>
            </w:r>
            <w:r w:rsidR="005B7D49" w:rsidRPr="00664F56">
              <w:t xml:space="preserve"> en fracciones menores de cualquier producto</w:t>
            </w:r>
            <w:r w:rsidRPr="00664F56">
              <w:t xml:space="preserve"> o </w:t>
            </w:r>
            <w:r w:rsidR="005B7D49" w:rsidRPr="00664F56">
              <w:t>material</w:t>
            </w:r>
            <w:r w:rsidRPr="00664F56">
              <w:t>, para facili</w:t>
            </w:r>
            <w:r w:rsidR="005B7D49" w:rsidRPr="00664F56">
              <w:t>tar su manipulación (para cualquier fin)</w:t>
            </w:r>
            <w:r w:rsidRPr="00664F56">
              <w:t>.</w:t>
            </w:r>
          </w:p>
        </w:tc>
      </w:tr>
      <w:tr w:rsidR="004B7324" w:rsidRPr="00F53CD7" w:rsidTr="004B7324">
        <w:tc>
          <w:tcPr>
            <w:tcW w:w="3116" w:type="dxa"/>
          </w:tcPr>
          <w:p w:rsidR="004B7324" w:rsidRPr="00F53CD7" w:rsidRDefault="004B7324" w:rsidP="00BF5612">
            <w:pPr>
              <w:spacing w:after="120"/>
              <w:jc w:val="both"/>
              <w:rPr>
                <w:b/>
              </w:rPr>
            </w:pPr>
            <w:r w:rsidRPr="00F53CD7">
              <w:rPr>
                <w:b/>
              </w:rPr>
              <w:t>Producto Químico:</w:t>
            </w:r>
          </w:p>
        </w:tc>
        <w:tc>
          <w:tcPr>
            <w:tcW w:w="6239" w:type="dxa"/>
          </w:tcPr>
          <w:p w:rsidR="00B83D6C" w:rsidRPr="00F53CD7" w:rsidRDefault="005B7D49" w:rsidP="00BF5612">
            <w:pPr>
              <w:spacing w:after="120"/>
              <w:jc w:val="both"/>
            </w:pPr>
            <w:r w:rsidRPr="00664F56">
              <w:t>Aquel</w:t>
            </w:r>
            <w:r w:rsidR="00B83D6C" w:rsidRPr="00664F56">
              <w:t xml:space="preserve"> que, por su naturaleza, produce o puede producir daños momentáneos o permanentes a la salud humana, animal o vegetal y a los elementos materiales tales como instalaciones, maquinarias, edificios, etc.</w:t>
            </w:r>
          </w:p>
        </w:tc>
      </w:tr>
      <w:tr w:rsidR="004B7324" w:rsidRPr="00F53CD7" w:rsidTr="004B7324">
        <w:tc>
          <w:tcPr>
            <w:tcW w:w="3116" w:type="dxa"/>
          </w:tcPr>
          <w:p w:rsidR="004B7324" w:rsidRPr="00F53CD7" w:rsidRDefault="004B7324" w:rsidP="00BF5612">
            <w:pPr>
              <w:spacing w:after="120"/>
              <w:jc w:val="both"/>
              <w:rPr>
                <w:b/>
              </w:rPr>
            </w:pPr>
            <w:r w:rsidRPr="00F53CD7">
              <w:rPr>
                <w:b/>
              </w:rPr>
              <w:t>PTE</w:t>
            </w:r>
          </w:p>
        </w:tc>
        <w:tc>
          <w:tcPr>
            <w:tcW w:w="6239" w:type="dxa"/>
          </w:tcPr>
          <w:p w:rsidR="004B7324" w:rsidRPr="00F53CD7" w:rsidRDefault="004B7324" w:rsidP="00BF5612">
            <w:pPr>
              <w:spacing w:after="120"/>
              <w:jc w:val="both"/>
            </w:pPr>
            <w:r w:rsidRPr="00F53CD7">
              <w:t>Permiso de Trabajo Especial</w:t>
            </w:r>
          </w:p>
        </w:tc>
      </w:tr>
      <w:tr w:rsidR="004B7324" w:rsidRPr="00F53CD7" w:rsidTr="004B7324">
        <w:tc>
          <w:tcPr>
            <w:tcW w:w="3116" w:type="dxa"/>
          </w:tcPr>
          <w:p w:rsidR="004B7324" w:rsidRPr="00F53CD7" w:rsidRDefault="004B7324" w:rsidP="00BF5612">
            <w:pPr>
              <w:spacing w:after="120"/>
              <w:jc w:val="both"/>
              <w:rPr>
                <w:b/>
              </w:rPr>
            </w:pPr>
            <w:r w:rsidRPr="00F53CD7">
              <w:rPr>
                <w:b/>
              </w:rPr>
              <w:t>Residuos Sólidos</w:t>
            </w:r>
          </w:p>
        </w:tc>
        <w:tc>
          <w:tcPr>
            <w:tcW w:w="6239" w:type="dxa"/>
          </w:tcPr>
          <w:p w:rsidR="004B7324" w:rsidRPr="00F53CD7" w:rsidRDefault="004B7324" w:rsidP="00BF5612">
            <w:pPr>
              <w:spacing w:after="120"/>
              <w:jc w:val="both"/>
            </w:pPr>
            <w:r w:rsidRPr="00F53CD7">
              <w:t xml:space="preserve">Residuos que se encuentran en estado sólido y semi-sólido, </w:t>
            </w:r>
            <w:r w:rsidR="00F53CD7" w:rsidRPr="00F53CD7">
              <w:t>y que</w:t>
            </w:r>
            <w:r w:rsidR="005B7D49">
              <w:t xml:space="preserve"> son</w:t>
            </w:r>
            <w:r w:rsidR="00F53CD7" w:rsidRPr="00F53CD7">
              <w:t xml:space="preserve"> </w:t>
            </w:r>
            <w:r w:rsidRPr="00F53CD7">
              <w:t xml:space="preserve">generados por las actividades de CMPC. Ejemplo: empaque de productos químicos, sustancias </w:t>
            </w:r>
            <w:r w:rsidR="00F53CD7" w:rsidRPr="00F53CD7">
              <w:t>vencidas</w:t>
            </w:r>
            <w:r w:rsidRPr="00F53CD7">
              <w:t>.</w:t>
            </w:r>
          </w:p>
        </w:tc>
      </w:tr>
    </w:tbl>
    <w:p w:rsidR="00F53CD7" w:rsidRPr="00F53CD7" w:rsidRDefault="00F53CD7" w:rsidP="00BF5612">
      <w:pPr>
        <w:jc w:val="both"/>
        <w:rPr>
          <w:sz w:val="24"/>
        </w:rPr>
      </w:pPr>
    </w:p>
    <w:p w:rsidR="00F31ECF" w:rsidRPr="00F53CD7" w:rsidRDefault="00F31ECF" w:rsidP="00BF5612">
      <w:pPr>
        <w:pStyle w:val="Ttulo1"/>
        <w:jc w:val="both"/>
      </w:pPr>
      <w:r>
        <w:t>4</w:t>
      </w:r>
      <w:r w:rsidRPr="00F53CD7">
        <w:t>. RESPONSABILIDADES</w:t>
      </w:r>
    </w:p>
    <w:p w:rsidR="00F31ECF" w:rsidRPr="00F53CD7" w:rsidRDefault="00F31ECF" w:rsidP="00BF5612">
      <w:pPr>
        <w:pStyle w:val="Ttulo2"/>
        <w:jc w:val="both"/>
      </w:pPr>
      <w:r>
        <w:t>4</w:t>
      </w:r>
      <w:r w:rsidRPr="00F53CD7">
        <w:t>.1 Operador “</w:t>
      </w:r>
      <w:r>
        <w:t>Dueño</w:t>
      </w:r>
      <w:r w:rsidRPr="00F53CD7">
        <w:t xml:space="preserve"> del Área”</w:t>
      </w:r>
    </w:p>
    <w:p w:rsidR="00F31ECF" w:rsidRPr="00F53CD7" w:rsidRDefault="00F31ECF" w:rsidP="00BF5612">
      <w:pPr>
        <w:pStyle w:val="Prrafodelista"/>
        <w:numPr>
          <w:ilvl w:val="0"/>
          <w:numId w:val="10"/>
        </w:numPr>
        <w:spacing w:after="120"/>
        <w:jc w:val="both"/>
      </w:pPr>
      <w:r w:rsidRPr="00F53CD7">
        <w:t>Conocer las actividades que se realizarán en el área</w:t>
      </w:r>
    </w:p>
    <w:p w:rsidR="00F31ECF" w:rsidRPr="00F53CD7" w:rsidRDefault="00F31ECF" w:rsidP="00BF5612">
      <w:pPr>
        <w:pStyle w:val="Prrafodelista"/>
        <w:numPr>
          <w:ilvl w:val="0"/>
          <w:numId w:val="10"/>
        </w:numPr>
        <w:spacing w:after="120"/>
        <w:jc w:val="both"/>
      </w:pPr>
      <w:r w:rsidRPr="00F53CD7">
        <w:t>Verificar la necesidad de elaborar una matriz de bloqueo</w:t>
      </w:r>
    </w:p>
    <w:p w:rsidR="00F31ECF" w:rsidRPr="00F53CD7" w:rsidRDefault="00F31ECF" w:rsidP="00BF5612">
      <w:pPr>
        <w:pStyle w:val="Prrafodelista"/>
        <w:numPr>
          <w:ilvl w:val="0"/>
          <w:numId w:val="10"/>
        </w:numPr>
        <w:spacing w:after="120"/>
        <w:jc w:val="both"/>
      </w:pPr>
      <w:r w:rsidRPr="00F53CD7">
        <w:t>Informar al responsable de la ejecución, con respecto a la presencia de energía residual, en caso de que no sea</w:t>
      </w:r>
      <w:r>
        <w:t xml:space="preserve"> posible garantizar el estado de Energía C</w:t>
      </w:r>
      <w:r w:rsidRPr="00F53CD7">
        <w:t>ero. Por ejemplo, presencia de lodo de cal en un tanque</w:t>
      </w:r>
    </w:p>
    <w:p w:rsidR="00F31ECF" w:rsidRPr="00F53CD7" w:rsidRDefault="00F31ECF" w:rsidP="00BF5612">
      <w:pPr>
        <w:pStyle w:val="Prrafodelista"/>
        <w:numPr>
          <w:ilvl w:val="0"/>
          <w:numId w:val="10"/>
        </w:numPr>
        <w:spacing w:after="120"/>
        <w:jc w:val="both"/>
      </w:pPr>
      <w:r w:rsidRPr="00F53CD7">
        <w:t xml:space="preserve">Exigir al ejecutante la elaboración de un AST para la </w:t>
      </w:r>
      <w:r>
        <w:t>tarea</w:t>
      </w:r>
    </w:p>
    <w:p w:rsidR="00F31ECF" w:rsidRPr="00F53CD7" w:rsidRDefault="00F31ECF" w:rsidP="00BF5612">
      <w:pPr>
        <w:pStyle w:val="Prrafodelista"/>
        <w:numPr>
          <w:ilvl w:val="0"/>
          <w:numId w:val="10"/>
        </w:numPr>
        <w:spacing w:after="120"/>
        <w:jc w:val="both"/>
      </w:pPr>
      <w:r w:rsidRPr="00F53CD7">
        <w:t>Aprobar el AST</w:t>
      </w:r>
    </w:p>
    <w:p w:rsidR="00F31ECF" w:rsidRPr="00F53CD7" w:rsidRDefault="00F31ECF" w:rsidP="00BF5612">
      <w:pPr>
        <w:pStyle w:val="Prrafodelista"/>
        <w:numPr>
          <w:ilvl w:val="0"/>
          <w:numId w:val="10"/>
        </w:numPr>
        <w:spacing w:after="120"/>
        <w:jc w:val="both"/>
      </w:pPr>
      <w:r w:rsidRPr="00F53CD7">
        <w:t xml:space="preserve">Emitir el PT y los PTEs, en conjunto con el responsable de la ejecución, observando si existen otras actividades ajenas a la que se está autorizando, y que pudieran </w:t>
      </w:r>
      <w:r>
        <w:t>representar</w:t>
      </w:r>
      <w:r w:rsidRPr="00F53CD7">
        <w:t xml:space="preserve"> riesgos</w:t>
      </w:r>
    </w:p>
    <w:p w:rsidR="00F31ECF" w:rsidRPr="00F53CD7" w:rsidRDefault="00F31ECF" w:rsidP="00BF5612">
      <w:pPr>
        <w:pStyle w:val="Prrafodelista"/>
        <w:numPr>
          <w:ilvl w:val="0"/>
          <w:numId w:val="10"/>
        </w:numPr>
        <w:spacing w:after="120"/>
        <w:jc w:val="both"/>
      </w:pPr>
      <w:r w:rsidRPr="00F53CD7">
        <w:t>Interrumpir la actividad en caso de que se observe cualquier condición de riesgo o incumplimiento del procedimiento</w:t>
      </w:r>
    </w:p>
    <w:p w:rsidR="00F31ECF" w:rsidRPr="00F53CD7" w:rsidRDefault="00F31ECF" w:rsidP="00BF5612">
      <w:pPr>
        <w:pStyle w:val="Prrafodelista"/>
        <w:numPr>
          <w:ilvl w:val="0"/>
          <w:numId w:val="10"/>
        </w:numPr>
        <w:spacing w:after="120"/>
        <w:jc w:val="both"/>
      </w:pPr>
      <w:r w:rsidRPr="00F53CD7">
        <w:t>Cerrar el PT y los PTEs</w:t>
      </w:r>
    </w:p>
    <w:p w:rsidR="00F31ECF" w:rsidRPr="00F53CD7" w:rsidRDefault="00F31ECF" w:rsidP="00BF5612">
      <w:pPr>
        <w:pStyle w:val="Prrafodelista"/>
        <w:numPr>
          <w:ilvl w:val="0"/>
          <w:numId w:val="10"/>
        </w:numPr>
        <w:spacing w:after="120"/>
        <w:jc w:val="both"/>
      </w:pPr>
      <w:r w:rsidRPr="00F53CD7">
        <w:t>Verificar si el o los ejecutantes están capacitados y autorizados para el uso de protección respiratoria.</w:t>
      </w:r>
    </w:p>
    <w:p w:rsidR="00F31ECF" w:rsidRDefault="00F31ECF" w:rsidP="00BF5612">
      <w:pPr>
        <w:spacing w:after="120"/>
        <w:jc w:val="both"/>
        <w:rPr>
          <w:b/>
        </w:rPr>
      </w:pPr>
      <w:r w:rsidRPr="00F53CD7">
        <w:t xml:space="preserve">NOTA: Las actividades rutinarias de los trabajos con productos químicos deberán tener procedimientos formales, elaborados conforme a los conceptos del AST. Garantizar que el sitio </w:t>
      </w:r>
      <w:r w:rsidRPr="00F53CD7">
        <w:lastRenderedPageBreak/>
        <w:t>donde los trabajos serán realizados sea visitado periódicamente para verificar el cumplimiento de este procedimiento.</w:t>
      </w:r>
    </w:p>
    <w:p w:rsidR="00F31ECF" w:rsidRPr="00F53CD7" w:rsidRDefault="00F31ECF" w:rsidP="00BF5612">
      <w:pPr>
        <w:pStyle w:val="Ttulo2"/>
        <w:spacing w:afterLines="0" w:after="120"/>
        <w:jc w:val="both"/>
      </w:pPr>
      <w:r>
        <w:t>4</w:t>
      </w:r>
      <w:r w:rsidR="00BC5405">
        <w:t>.2. Supervisor r</w:t>
      </w:r>
      <w:r w:rsidRPr="00F53CD7">
        <w:t xml:space="preserve">esponsable de la Ejecución </w:t>
      </w:r>
    </w:p>
    <w:p w:rsidR="00F31ECF" w:rsidRPr="00F53CD7" w:rsidRDefault="00F31ECF" w:rsidP="00BF5612">
      <w:pPr>
        <w:pStyle w:val="Prrafodelista"/>
        <w:numPr>
          <w:ilvl w:val="0"/>
          <w:numId w:val="12"/>
        </w:numPr>
        <w:spacing w:after="120"/>
        <w:jc w:val="both"/>
      </w:pPr>
      <w:r w:rsidRPr="00F53CD7">
        <w:t>Cumplir con los requerimientos en</w:t>
      </w:r>
      <w:r>
        <w:t xml:space="preserve"> </w:t>
      </w:r>
      <w:r w:rsidRPr="00F53CD7">
        <w:t xml:space="preserve">listados en el </w:t>
      </w:r>
      <w:r>
        <w:t>PT</w:t>
      </w:r>
    </w:p>
    <w:p w:rsidR="00F31ECF" w:rsidRPr="00F53CD7" w:rsidRDefault="00F31ECF" w:rsidP="00BF5612">
      <w:pPr>
        <w:pStyle w:val="Prrafodelista"/>
        <w:numPr>
          <w:ilvl w:val="0"/>
          <w:numId w:val="12"/>
        </w:numPr>
        <w:spacing w:after="120"/>
        <w:jc w:val="both"/>
      </w:pPr>
      <w:r w:rsidRPr="00F53CD7">
        <w:t>Apoyar al emisor en la elaboración del PTE</w:t>
      </w:r>
    </w:p>
    <w:p w:rsidR="00F31ECF" w:rsidRPr="00F53CD7" w:rsidRDefault="00F31ECF" w:rsidP="00BF5612">
      <w:pPr>
        <w:pStyle w:val="Prrafodelista"/>
        <w:numPr>
          <w:ilvl w:val="0"/>
          <w:numId w:val="12"/>
        </w:numPr>
        <w:spacing w:after="120"/>
        <w:jc w:val="both"/>
      </w:pPr>
      <w:r w:rsidRPr="00F53CD7">
        <w:t>Realizar un AST para la actividad que tiene utilización de productos químicos</w:t>
      </w:r>
    </w:p>
    <w:p w:rsidR="00F31ECF" w:rsidRPr="00F53CD7" w:rsidRDefault="00F31ECF" w:rsidP="00BF5612">
      <w:pPr>
        <w:pStyle w:val="Prrafodelista"/>
        <w:numPr>
          <w:ilvl w:val="0"/>
          <w:numId w:val="12"/>
        </w:numPr>
        <w:spacing w:after="120"/>
        <w:jc w:val="both"/>
      </w:pPr>
      <w:r w:rsidRPr="00F53CD7">
        <w:t>Garantizar que la información sobre los peligros y riesgos, así como las medidas de control adoptadas, estén actualizadas</w:t>
      </w:r>
    </w:p>
    <w:p w:rsidR="00F31ECF" w:rsidRPr="00F53CD7" w:rsidRDefault="00F31ECF" w:rsidP="00BF5612">
      <w:pPr>
        <w:pStyle w:val="Prrafodelista"/>
        <w:numPr>
          <w:ilvl w:val="0"/>
          <w:numId w:val="12"/>
        </w:numPr>
        <w:spacing w:after="120"/>
        <w:jc w:val="both"/>
      </w:pPr>
      <w:r w:rsidRPr="00F53CD7">
        <w:t>Asegurar la suspensión de los trabajos cuando se confirme una situación o condición de riesgo no prevista, y cuya eliminación o neutralización inmediata no sea posible</w:t>
      </w:r>
    </w:p>
    <w:p w:rsidR="00F31ECF" w:rsidRPr="00F53CD7" w:rsidRDefault="00F31ECF" w:rsidP="00BF5612">
      <w:pPr>
        <w:pStyle w:val="Prrafodelista"/>
        <w:numPr>
          <w:ilvl w:val="0"/>
          <w:numId w:val="12"/>
        </w:numPr>
        <w:spacing w:after="120"/>
        <w:jc w:val="both"/>
      </w:pPr>
      <w:r w:rsidRPr="00F53CD7">
        <w:t xml:space="preserve">Hacer una reunión previa a la tarea en el lugar de trabajo, con el equipo de colaboradores, para que </w:t>
      </w:r>
      <w:r>
        <w:t xml:space="preserve">todos </w:t>
      </w:r>
      <w:r w:rsidRPr="00F53CD7">
        <w:t xml:space="preserve">estén conscientes de los peligros y riesgos de la </w:t>
      </w:r>
      <w:r>
        <w:t>tarea</w:t>
      </w:r>
      <w:r w:rsidRPr="00F53CD7">
        <w:t>, así como de las precauciones necesarias, incluidas en el PTE y el AST</w:t>
      </w:r>
    </w:p>
    <w:p w:rsidR="00F31ECF" w:rsidRPr="00F53CD7" w:rsidRDefault="00F31ECF" w:rsidP="00BF5612">
      <w:pPr>
        <w:pStyle w:val="Prrafodelista"/>
        <w:numPr>
          <w:ilvl w:val="0"/>
          <w:numId w:val="12"/>
        </w:numPr>
        <w:spacing w:after="120"/>
        <w:jc w:val="both"/>
      </w:pPr>
      <w:r w:rsidRPr="00F53CD7">
        <w:t>Hacer la limpieza del lugar donde se realizó el trabajo</w:t>
      </w:r>
    </w:p>
    <w:p w:rsidR="00F31ECF" w:rsidRPr="00F53CD7" w:rsidRDefault="00F31ECF" w:rsidP="00BF5612">
      <w:pPr>
        <w:pStyle w:val="Prrafodelista"/>
        <w:numPr>
          <w:ilvl w:val="0"/>
          <w:numId w:val="12"/>
        </w:numPr>
        <w:spacing w:after="120"/>
        <w:jc w:val="both"/>
      </w:pPr>
      <w:r w:rsidRPr="00F53CD7">
        <w:t>Solicitar el cierre del PT y los PTEs correspondientes.</w:t>
      </w:r>
    </w:p>
    <w:p w:rsidR="00F31ECF" w:rsidRPr="00F53CD7" w:rsidRDefault="00F31ECF" w:rsidP="00BF5612">
      <w:pPr>
        <w:pStyle w:val="Ttulo2"/>
        <w:spacing w:afterLines="0" w:after="120"/>
        <w:jc w:val="both"/>
      </w:pPr>
      <w:r>
        <w:t>4</w:t>
      </w:r>
      <w:r w:rsidRPr="00F53CD7">
        <w:t>.3. Ejecutante</w:t>
      </w:r>
    </w:p>
    <w:p w:rsidR="00F31ECF" w:rsidRPr="00F53CD7" w:rsidRDefault="00F31ECF" w:rsidP="00BF5612">
      <w:pPr>
        <w:pStyle w:val="Prrafodelista"/>
        <w:numPr>
          <w:ilvl w:val="0"/>
          <w:numId w:val="12"/>
        </w:numPr>
        <w:spacing w:after="120"/>
        <w:jc w:val="both"/>
      </w:pPr>
      <w:r w:rsidRPr="00F53CD7">
        <w:t>Estar consciente de los riesgos y controles previstos en el AST</w:t>
      </w:r>
    </w:p>
    <w:p w:rsidR="00F31ECF" w:rsidRPr="00F53CD7" w:rsidRDefault="00F31ECF" w:rsidP="00BF5612">
      <w:pPr>
        <w:pStyle w:val="Prrafodelista"/>
        <w:numPr>
          <w:ilvl w:val="0"/>
          <w:numId w:val="12"/>
        </w:numPr>
        <w:spacing w:after="120"/>
        <w:jc w:val="both"/>
      </w:pPr>
      <w:r w:rsidRPr="00F53CD7">
        <w:t>Cumplir con las disposiciones legales y con los requisitos especificados en el PTE y el AST</w:t>
      </w:r>
    </w:p>
    <w:p w:rsidR="00F31ECF" w:rsidRPr="00F53CD7" w:rsidRDefault="00F31ECF" w:rsidP="00BF5612">
      <w:pPr>
        <w:pStyle w:val="Prrafodelista"/>
        <w:numPr>
          <w:ilvl w:val="0"/>
          <w:numId w:val="12"/>
        </w:numPr>
        <w:spacing w:after="120"/>
        <w:jc w:val="both"/>
      </w:pPr>
      <w:r w:rsidRPr="00F53CD7">
        <w:t xml:space="preserve">Interrumpir sus actividades cada vez que encuentre evidencias de riesgos graves e inminentes para su seguridad y salud, y para las de otras personas, comunicando inmediatamente el hecho al responsable de la actividad y al </w:t>
      </w:r>
      <w:r>
        <w:t>dueño</w:t>
      </w:r>
      <w:r w:rsidRPr="00F53CD7">
        <w:t xml:space="preserve"> del área</w:t>
      </w:r>
    </w:p>
    <w:p w:rsidR="00F31ECF" w:rsidRPr="00F53CD7" w:rsidRDefault="00F31ECF" w:rsidP="00BF5612">
      <w:pPr>
        <w:pStyle w:val="Prrafodelista"/>
        <w:numPr>
          <w:ilvl w:val="0"/>
          <w:numId w:val="12"/>
        </w:numPr>
        <w:spacing w:after="120"/>
        <w:jc w:val="both"/>
      </w:pPr>
      <w:r w:rsidRPr="00F53CD7">
        <w:t>Garantizar su</w:t>
      </w:r>
      <w:r>
        <w:t xml:space="preserve"> propia</w:t>
      </w:r>
      <w:r w:rsidRPr="00F53CD7">
        <w:t xml:space="preserve"> seguridad y salud, así como la de otras personas que pudieran ser afectadas por sus acciones u omisiones en el trabajo.</w:t>
      </w:r>
    </w:p>
    <w:p w:rsidR="00F31ECF" w:rsidRPr="00F53CD7" w:rsidRDefault="00F31ECF" w:rsidP="00BF5612">
      <w:pPr>
        <w:pStyle w:val="Prrafodelista"/>
        <w:numPr>
          <w:ilvl w:val="0"/>
          <w:numId w:val="12"/>
        </w:numPr>
        <w:spacing w:after="120"/>
        <w:jc w:val="both"/>
      </w:pPr>
      <w:r w:rsidRPr="00F53CD7">
        <w:t xml:space="preserve">Participar activamente en el desarrollo del AST </w:t>
      </w:r>
    </w:p>
    <w:p w:rsidR="00F31ECF" w:rsidRPr="00F53CD7" w:rsidRDefault="00F31ECF" w:rsidP="00BF5612">
      <w:pPr>
        <w:pStyle w:val="Ttulo2"/>
        <w:spacing w:afterLines="0" w:after="120"/>
        <w:jc w:val="both"/>
      </w:pPr>
      <w:r>
        <w:t>4</w:t>
      </w:r>
      <w:r w:rsidRPr="00F53CD7">
        <w:t xml:space="preserve">.4. </w:t>
      </w:r>
      <w:r w:rsidR="00BC5405">
        <w:t xml:space="preserve">UNIDAD DE </w:t>
      </w:r>
      <w:r w:rsidRPr="00664F56">
        <w:t>SEGURIDAD Y EMERGENCIA</w:t>
      </w:r>
    </w:p>
    <w:p w:rsidR="00F31ECF" w:rsidRPr="00F53CD7" w:rsidRDefault="00F31ECF" w:rsidP="00BF5612">
      <w:pPr>
        <w:pStyle w:val="Prrafodelista"/>
        <w:numPr>
          <w:ilvl w:val="0"/>
          <w:numId w:val="12"/>
        </w:numPr>
        <w:spacing w:after="120"/>
        <w:jc w:val="both"/>
      </w:pPr>
      <w:r w:rsidRPr="00F53CD7">
        <w:t>Colaborar en el desarrollo y emisión del AST, PT y PTE, cuando le sea solicitado</w:t>
      </w:r>
    </w:p>
    <w:p w:rsidR="00F31ECF" w:rsidRPr="00F53CD7" w:rsidRDefault="00F31ECF" w:rsidP="00BF5612">
      <w:pPr>
        <w:pStyle w:val="Prrafodelista"/>
        <w:numPr>
          <w:ilvl w:val="0"/>
          <w:numId w:val="12"/>
        </w:numPr>
        <w:spacing w:after="120"/>
        <w:jc w:val="both"/>
      </w:pPr>
      <w:r w:rsidRPr="00F53CD7">
        <w:t xml:space="preserve">Participar en la aprobación del </w:t>
      </w:r>
      <w:r>
        <w:t>PT</w:t>
      </w:r>
      <w:r w:rsidRPr="00F53CD7">
        <w:t xml:space="preserve"> y PTE, cuando hubiera más de un PT</w:t>
      </w:r>
      <w:r>
        <w:t>E</w:t>
      </w:r>
      <w:r w:rsidRPr="00F53CD7">
        <w:t xml:space="preserve"> para la </w:t>
      </w:r>
      <w:r>
        <w:t>tarea</w:t>
      </w:r>
    </w:p>
    <w:p w:rsidR="00F31ECF" w:rsidRPr="00F53CD7" w:rsidRDefault="00F31ECF" w:rsidP="00BF5612">
      <w:pPr>
        <w:pStyle w:val="Prrafodelista"/>
        <w:numPr>
          <w:ilvl w:val="0"/>
          <w:numId w:val="12"/>
        </w:numPr>
        <w:spacing w:after="120"/>
        <w:jc w:val="both"/>
      </w:pPr>
      <w:r w:rsidRPr="00F53CD7">
        <w:t xml:space="preserve">Interrumpir </w:t>
      </w:r>
      <w:r>
        <w:t>los trabajos</w:t>
      </w:r>
      <w:r w:rsidRPr="00F53CD7">
        <w:t>, cuando se confirme un riesgo grave e inminente.</w:t>
      </w:r>
    </w:p>
    <w:p w:rsidR="00F31ECF" w:rsidRDefault="00F31ECF" w:rsidP="00BF5612">
      <w:pPr>
        <w:pStyle w:val="Ttulo1"/>
        <w:ind w:left="0" w:firstLine="0"/>
        <w:jc w:val="both"/>
      </w:pPr>
    </w:p>
    <w:p w:rsidR="004B7324" w:rsidRPr="00F53CD7" w:rsidRDefault="00F31ECF" w:rsidP="00BF5612">
      <w:pPr>
        <w:pStyle w:val="Ttulo1"/>
        <w:jc w:val="both"/>
      </w:pPr>
      <w:r>
        <w:t>5</w:t>
      </w:r>
      <w:r w:rsidR="004B7324" w:rsidRPr="00F53CD7">
        <w:t xml:space="preserve">. </w:t>
      </w:r>
      <w:r w:rsidR="004B7324" w:rsidRPr="00F53CD7">
        <w:tab/>
        <w:t>DISPOSICIONES GENERALES</w:t>
      </w:r>
    </w:p>
    <w:p w:rsidR="004B7324" w:rsidRPr="00F53CD7" w:rsidRDefault="00F31ECF" w:rsidP="00BF5612">
      <w:pPr>
        <w:pStyle w:val="Ttulo2"/>
        <w:spacing w:afterLines="0" w:after="120"/>
        <w:jc w:val="both"/>
      </w:pPr>
      <w:r>
        <w:t>5</w:t>
      </w:r>
      <w:r w:rsidR="001052F7">
        <w:t>.1</w:t>
      </w:r>
      <w:r w:rsidR="004B7324" w:rsidRPr="00F53CD7">
        <w:tab/>
        <w:t xml:space="preserve">Áreas de </w:t>
      </w:r>
      <w:r w:rsidR="00B83D6C" w:rsidRPr="00664F56">
        <w:t>Exposición</w:t>
      </w:r>
      <w:r w:rsidR="00B83D6C">
        <w:t xml:space="preserve"> </w:t>
      </w:r>
      <w:r w:rsidR="004B7324" w:rsidRPr="00F53CD7">
        <w:t xml:space="preserve">de Productos Químicos </w:t>
      </w:r>
    </w:p>
    <w:p w:rsidR="004B7324" w:rsidRPr="00F53CD7" w:rsidRDefault="004B7324" w:rsidP="00BF5612">
      <w:pPr>
        <w:spacing w:after="120"/>
        <w:jc w:val="both"/>
      </w:pPr>
      <w:r w:rsidRPr="00F53CD7">
        <w:t xml:space="preserve">Las áreas de </w:t>
      </w:r>
      <w:r w:rsidR="00B51738" w:rsidRPr="00664F56">
        <w:t>exposición</w:t>
      </w:r>
      <w:r w:rsidRPr="00F53CD7">
        <w:t xml:space="preserve"> de productos deberán estar aisladas y señalizadas, en la forma definida en el procedimiento específico, previo a la autorización de actividades con productos químicos. La definición del área a ser aislada deberá quedar indicada en </w:t>
      </w:r>
      <w:r w:rsidR="00F53CD7" w:rsidRPr="00F53CD7">
        <w:t>el</w:t>
      </w:r>
      <w:r w:rsidRPr="00F53CD7">
        <w:t xml:space="preserve"> AST.</w:t>
      </w:r>
    </w:p>
    <w:p w:rsidR="004B7324" w:rsidRPr="00F53CD7" w:rsidRDefault="004B7324" w:rsidP="00BF5612">
      <w:pPr>
        <w:spacing w:after="120"/>
        <w:jc w:val="both"/>
      </w:pPr>
      <w:r w:rsidRPr="00F53CD7">
        <w:t xml:space="preserve">En las proximidades del lugar de </w:t>
      </w:r>
      <w:r w:rsidR="001052F7">
        <w:t>exposición</w:t>
      </w:r>
      <w:r w:rsidRPr="00F53CD7">
        <w:t xml:space="preserve"> deberá haber </w:t>
      </w:r>
      <w:r w:rsidR="00B51738" w:rsidRPr="00664F56">
        <w:t>duchas</w:t>
      </w:r>
      <w:r w:rsidRPr="00F53CD7">
        <w:t xml:space="preserve"> y estaciones lavaojos de seguridad, que deben ser probados antes de la autorización de la actividad y en las revalidaciones. El hecho de que estos equipos no funcionaran sería un factor que impediría la autorización de la actividad.</w:t>
      </w:r>
    </w:p>
    <w:p w:rsidR="004B7324" w:rsidRPr="00F53CD7" w:rsidRDefault="004B7324" w:rsidP="00BF5612">
      <w:pPr>
        <w:spacing w:after="120"/>
        <w:jc w:val="both"/>
      </w:pPr>
      <w:r w:rsidRPr="00F53CD7">
        <w:t xml:space="preserve">Además de las </w:t>
      </w:r>
      <w:r w:rsidR="00B51738" w:rsidRPr="00664F56">
        <w:t>duchas</w:t>
      </w:r>
      <w:r w:rsidRPr="00F53CD7">
        <w:t xml:space="preserve"> y estaciones lavaojos de seguridad, es obligatorio</w:t>
      </w:r>
      <w:r w:rsidR="00F2038E">
        <w:t xml:space="preserve"> que el operador tenga acceso a</w:t>
      </w:r>
      <w:r w:rsidR="00F2038E">
        <w:rPr>
          <w:color w:val="222222"/>
          <w:shd w:val="clear" w:color="auto" w:fill="FFFFFF"/>
        </w:rPr>
        <w:t xml:space="preserve"> una solución de lavado de urgencia de proyecciones químicas oculares y cutáneas, (ejemplo</w:t>
      </w:r>
      <w:r w:rsidR="00C442CB">
        <w:rPr>
          <w:color w:val="222222"/>
          <w:shd w:val="clear" w:color="auto" w:fill="FFFFFF"/>
        </w:rPr>
        <w:t>:</w:t>
      </w:r>
      <w:r w:rsidR="00F2038E">
        <w:rPr>
          <w:color w:val="222222"/>
          <w:shd w:val="clear" w:color="auto" w:fill="FFFFFF"/>
        </w:rPr>
        <w:t xml:space="preserve"> </w:t>
      </w:r>
      <w:r w:rsidR="00B51738" w:rsidRPr="00664F56">
        <w:t>Diphoterine</w:t>
      </w:r>
      <w:r w:rsidR="00F2038E">
        <w:t>)</w:t>
      </w:r>
      <w:r w:rsidRPr="00F53CD7">
        <w:t xml:space="preserve"> en el lugar de la actividad.</w:t>
      </w:r>
    </w:p>
    <w:p w:rsidR="004B7324" w:rsidRPr="00F53CD7" w:rsidRDefault="004B7324" w:rsidP="00BF5612">
      <w:pPr>
        <w:spacing w:after="120"/>
        <w:jc w:val="both"/>
      </w:pPr>
      <w:r w:rsidRPr="00F53CD7">
        <w:lastRenderedPageBreak/>
        <w:t>Los</w:t>
      </w:r>
      <w:r w:rsidR="00B51738">
        <w:t xml:space="preserve"> </w:t>
      </w:r>
      <w:r w:rsidR="00B51738" w:rsidRPr="00664F56">
        <w:t>envases</w:t>
      </w:r>
      <w:r w:rsidR="00893CF5" w:rsidRPr="00664F56">
        <w:t xml:space="preserve"> y/o contenedores</w:t>
      </w:r>
      <w:r w:rsidR="00B51738" w:rsidRPr="00664F56">
        <w:t xml:space="preserve"> de</w:t>
      </w:r>
      <w:r w:rsidRPr="00664F56">
        <w:t xml:space="preserve"> productos químicos a ser utilizados y manipulados deberán estar correctamente etiquetados, en los lugares previamente definidos y señalizados</w:t>
      </w:r>
      <w:r w:rsidR="00F53CD7" w:rsidRPr="00664F56">
        <w:t>;</w:t>
      </w:r>
      <w:r w:rsidRPr="00664F56">
        <w:t xml:space="preserve"> y su </w:t>
      </w:r>
      <w:r w:rsidR="00B51738" w:rsidRPr="00664F56">
        <w:t xml:space="preserve">HDS </w:t>
      </w:r>
      <w:r w:rsidRPr="00664F56">
        <w:t>deberá estar presente</w:t>
      </w:r>
      <w:r w:rsidRPr="00F53CD7">
        <w:t xml:space="preserve"> </w:t>
      </w:r>
      <w:r w:rsidR="00F53CD7" w:rsidRPr="00F53CD7">
        <w:t>desde</w:t>
      </w:r>
      <w:r w:rsidRPr="00F53CD7">
        <w:t xml:space="preserve"> el momento de la autorización del PTE de la actividad hasta su conclusión.</w:t>
      </w:r>
    </w:p>
    <w:p w:rsidR="004B7324" w:rsidRPr="00F53CD7" w:rsidRDefault="004B7324" w:rsidP="00BF5612">
      <w:pPr>
        <w:spacing w:after="120"/>
        <w:jc w:val="both"/>
      </w:pPr>
      <w:r w:rsidRPr="00F53CD7">
        <w:t xml:space="preserve">Antes de la autorización de la </w:t>
      </w:r>
      <w:r w:rsidR="00F53CD7" w:rsidRPr="00F53CD7">
        <w:t>tarea se deberán verificar</w:t>
      </w:r>
      <w:r w:rsidRPr="00F53CD7">
        <w:t xml:space="preserve"> los siguientes aspectos</w:t>
      </w:r>
      <w:r w:rsidR="00F53CD7" w:rsidRPr="00F53CD7">
        <w:t>:</w:t>
      </w:r>
    </w:p>
    <w:p w:rsidR="004B7324" w:rsidRPr="00F53CD7" w:rsidRDefault="004B7324" w:rsidP="00BF5612">
      <w:pPr>
        <w:pStyle w:val="Prrafodelista"/>
        <w:numPr>
          <w:ilvl w:val="0"/>
          <w:numId w:val="5"/>
        </w:numPr>
        <w:spacing w:after="120"/>
        <w:ind w:left="720" w:hanging="360"/>
        <w:jc w:val="both"/>
      </w:pPr>
      <w:r w:rsidRPr="00F53CD7">
        <w:t>Los contenedores de los productos químicos deben estar en buenas condiciones, y almacenarse en cajas de contención</w:t>
      </w:r>
      <w:r w:rsidR="0016293A">
        <w:t xml:space="preserve"> de derrames.</w:t>
      </w:r>
    </w:p>
    <w:p w:rsidR="004B7324" w:rsidRPr="00C442CB" w:rsidRDefault="004B7324" w:rsidP="00BF5612">
      <w:pPr>
        <w:pStyle w:val="Prrafodelista"/>
        <w:numPr>
          <w:ilvl w:val="0"/>
          <w:numId w:val="5"/>
        </w:numPr>
        <w:spacing w:after="120"/>
        <w:ind w:left="720" w:hanging="360"/>
        <w:jc w:val="both"/>
      </w:pPr>
      <w:r w:rsidRPr="00C442CB">
        <w:t>Si el producto químico fuera inflamable, se deberá</w:t>
      </w:r>
      <w:r w:rsidR="00F53CD7" w:rsidRPr="00C442CB">
        <w:t>n</w:t>
      </w:r>
      <w:r w:rsidRPr="00C442CB">
        <w:t xml:space="preserve"> respetar </w:t>
      </w:r>
      <w:r w:rsidR="00F53CD7" w:rsidRPr="00C442CB">
        <w:t>los siguientes límites</w:t>
      </w:r>
      <w:r w:rsidRPr="00C442CB">
        <w:t>: 200 l de líquido inflamable y 135 kg de gas inflamable. En caso de tener contenedores vacíos, no de</w:t>
      </w:r>
      <w:r w:rsidR="00C442CB">
        <w:t>s</w:t>
      </w:r>
      <w:r w:rsidRPr="00C442CB">
        <w:t xml:space="preserve">gasificados, no </w:t>
      </w:r>
      <w:r w:rsidR="00F53CD7" w:rsidRPr="00C442CB">
        <w:t>se podrá</w:t>
      </w:r>
      <w:r w:rsidR="0016293A" w:rsidRPr="00C442CB">
        <w:t>n</w:t>
      </w:r>
      <w:r w:rsidRPr="00C442CB">
        <w:t xml:space="preserve"> rebasar </w:t>
      </w:r>
      <w:r w:rsidR="0016293A" w:rsidRPr="00C442CB">
        <w:t>los límites anteriores</w:t>
      </w:r>
      <w:r w:rsidRPr="00C442CB">
        <w:t xml:space="preserve">. En caso de que las cantidades rebasen las definidas en este inciso, </w:t>
      </w:r>
      <w:r w:rsidR="00F53CD7" w:rsidRPr="00C442CB">
        <w:t>el excedente deberá</w:t>
      </w:r>
      <w:r w:rsidRPr="00C442CB">
        <w:t xml:space="preserve"> ser retirad</w:t>
      </w:r>
      <w:r w:rsidR="00F53CD7" w:rsidRPr="00C442CB">
        <w:t>o</w:t>
      </w:r>
      <w:r w:rsidRPr="00C442CB">
        <w:t xml:space="preserve"> </w:t>
      </w:r>
      <w:r w:rsidR="00F53CD7" w:rsidRPr="00C442CB">
        <w:t>d</w:t>
      </w:r>
      <w:r w:rsidRPr="00C442CB">
        <w:t>el área y depositadas en el lugar definido por CMPC.</w:t>
      </w:r>
    </w:p>
    <w:p w:rsidR="004B7324" w:rsidRPr="00F53CD7" w:rsidRDefault="004B7324" w:rsidP="00BF5612">
      <w:pPr>
        <w:pStyle w:val="Prrafodelista"/>
        <w:numPr>
          <w:ilvl w:val="0"/>
          <w:numId w:val="5"/>
        </w:numPr>
        <w:spacing w:after="120"/>
        <w:ind w:left="720" w:hanging="360"/>
        <w:jc w:val="both"/>
      </w:pPr>
      <w:r w:rsidRPr="00F53CD7">
        <w:t xml:space="preserve">Antes de autorizar el uso de sustancias inflamables, se deberán retirar del área </w:t>
      </w:r>
      <w:r w:rsidR="00F53CD7">
        <w:t>todas las</w:t>
      </w:r>
      <w:r w:rsidRPr="00F53CD7">
        <w:t xml:space="preserve"> fuentes de ignición de la propia actividad, o de otras </w:t>
      </w:r>
      <w:r w:rsidR="00F53CD7">
        <w:t>tareas</w:t>
      </w:r>
      <w:r w:rsidRPr="00F53CD7">
        <w:t xml:space="preserve"> </w:t>
      </w:r>
      <w:r w:rsidR="001E3523" w:rsidRPr="00F53CD7">
        <w:t xml:space="preserve">incorporadas o </w:t>
      </w:r>
      <w:r w:rsidRPr="00F53CD7">
        <w:t>paralelas.</w:t>
      </w:r>
    </w:p>
    <w:p w:rsidR="004B7324" w:rsidRPr="00F53CD7" w:rsidRDefault="004B7324" w:rsidP="00BF5612">
      <w:pPr>
        <w:pStyle w:val="Prrafodelista"/>
        <w:numPr>
          <w:ilvl w:val="0"/>
          <w:numId w:val="5"/>
        </w:numPr>
        <w:spacing w:after="120"/>
        <w:ind w:left="720" w:hanging="360"/>
        <w:jc w:val="both"/>
      </w:pPr>
      <w:r w:rsidRPr="00F53CD7">
        <w:t>En caso de trabajo en espacios confinados, las condiciones deberán ser verificadas en el PTE específico.</w:t>
      </w:r>
    </w:p>
    <w:p w:rsidR="004B7324" w:rsidRPr="00F53CD7" w:rsidRDefault="004B7324" w:rsidP="00BF5612">
      <w:pPr>
        <w:pStyle w:val="Prrafodelista"/>
        <w:numPr>
          <w:ilvl w:val="0"/>
          <w:numId w:val="5"/>
        </w:numPr>
        <w:spacing w:after="120"/>
        <w:ind w:left="720" w:hanging="360"/>
        <w:jc w:val="both"/>
      </w:pPr>
      <w:r w:rsidRPr="00F53CD7">
        <w:t xml:space="preserve">Si hubiera </w:t>
      </w:r>
      <w:r w:rsidR="00F53CD7">
        <w:t xml:space="preserve">potencial </w:t>
      </w:r>
      <w:r w:rsidRPr="00F53CD7">
        <w:t>de incompatibilidad entre los productos químicos, o mezclas, ést</w:t>
      </w:r>
      <w:r w:rsidR="00F53CD7">
        <w:t>e</w:t>
      </w:r>
      <w:r w:rsidRPr="00F53CD7">
        <w:t xml:space="preserve"> </w:t>
      </w:r>
      <w:r w:rsidR="00F53CD7">
        <w:t>deberá ser descrito</w:t>
      </w:r>
      <w:r w:rsidRPr="00F53CD7">
        <w:t xml:space="preserve"> en el AST, con las medidas pertinentes a ser adoptadas para mitigar los riesgos.</w:t>
      </w:r>
    </w:p>
    <w:p w:rsidR="004B7324" w:rsidRPr="00F53CD7" w:rsidRDefault="00F53CD7" w:rsidP="00BF5612">
      <w:pPr>
        <w:pStyle w:val="Prrafodelista"/>
        <w:numPr>
          <w:ilvl w:val="0"/>
          <w:numId w:val="5"/>
        </w:numPr>
        <w:spacing w:after="120"/>
        <w:ind w:left="720" w:hanging="360"/>
        <w:jc w:val="both"/>
      </w:pPr>
      <w:r>
        <w:t>Los productos químicos tendrán doble contención</w:t>
      </w:r>
      <w:r w:rsidR="004B7324" w:rsidRPr="00F53CD7">
        <w:t xml:space="preserve"> en los siguientes casos: bombonas dentro de un </w:t>
      </w:r>
      <w:r>
        <w:t>contenedor de seguridad</w:t>
      </w:r>
      <w:r w:rsidR="004B7324" w:rsidRPr="00F53CD7">
        <w:t xml:space="preserve">. Si no </w:t>
      </w:r>
      <w:r>
        <w:t>se dispusiera de un contenedor de seguridad</w:t>
      </w:r>
      <w:r w:rsidR="004B7324" w:rsidRPr="00F53CD7">
        <w:t>, se podrá considerar un recipiente externo que sea compatible, y que tenga volumen de almacenamiento suficiente.</w:t>
      </w:r>
    </w:p>
    <w:p w:rsidR="00F53CD7" w:rsidRDefault="004B7324" w:rsidP="00BF5612">
      <w:pPr>
        <w:pStyle w:val="Prrafodelista"/>
        <w:numPr>
          <w:ilvl w:val="0"/>
          <w:numId w:val="5"/>
        </w:numPr>
        <w:spacing w:after="120"/>
        <w:ind w:left="720" w:hanging="360"/>
        <w:jc w:val="both"/>
      </w:pPr>
      <w:r w:rsidRPr="00F53CD7">
        <w:t>Los hidrocarburos y líquidos inflamables deberán ser acondicionados en contenedores adecuados con sistemas de aterrizaje y válvula de seguridad.</w:t>
      </w:r>
    </w:p>
    <w:p w:rsidR="004B7324" w:rsidRPr="00F53CD7" w:rsidRDefault="004B7324" w:rsidP="00BF5612">
      <w:pPr>
        <w:spacing w:after="120"/>
        <w:jc w:val="both"/>
      </w:pPr>
      <w:r w:rsidRPr="00F53CD7">
        <w:t xml:space="preserve">La ausencia de la </w:t>
      </w:r>
      <w:r w:rsidR="00182ADE" w:rsidRPr="00664F56">
        <w:t>HDS</w:t>
      </w:r>
      <w:r w:rsidRPr="00F53CD7">
        <w:t xml:space="preserve"> es un factor que impide el inicio de la actividad.</w:t>
      </w:r>
    </w:p>
    <w:p w:rsidR="004B7324" w:rsidRPr="00182ADE" w:rsidRDefault="004B7324" w:rsidP="00BF5612">
      <w:pPr>
        <w:spacing w:after="120"/>
        <w:jc w:val="both"/>
        <w:rPr>
          <w:strike/>
          <w:color w:val="FF0000"/>
        </w:rPr>
      </w:pPr>
      <w:r w:rsidRPr="00F53CD7">
        <w:t xml:space="preserve">El acceso a las </w:t>
      </w:r>
      <w:r w:rsidR="00182ADE" w:rsidRPr="00664F56">
        <w:rPr>
          <w:color w:val="000000" w:themeColor="text1"/>
        </w:rPr>
        <w:t xml:space="preserve">HDSs </w:t>
      </w:r>
      <w:r w:rsidRPr="00F53CD7">
        <w:t>que contienen los datos de seguridad de los productos químicos y las etiquetas a ser utilizadas en los envases (en caso de fraccionamiento) en CMPC, se pueden encontrar en la Intranet</w:t>
      </w:r>
    </w:p>
    <w:p w:rsidR="004B7324" w:rsidRPr="00F53CD7" w:rsidRDefault="004B7324" w:rsidP="00F53CD7">
      <w:pPr>
        <w:spacing w:after="120"/>
        <w:jc w:val="center"/>
      </w:pPr>
    </w:p>
    <w:p w:rsidR="001E3523" w:rsidRPr="00F53CD7" w:rsidRDefault="001E3523" w:rsidP="00F53CD7">
      <w:pPr>
        <w:spacing w:after="120"/>
        <w:jc w:val="center"/>
      </w:pPr>
    </w:p>
    <w:p w:rsidR="009D2450" w:rsidRDefault="009D2450" w:rsidP="00F53CD7">
      <w:pPr>
        <w:spacing w:after="120"/>
        <w:jc w:val="center"/>
        <w:rPr>
          <w:highlight w:val="gree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19"/>
        <w:gridCol w:w="4631"/>
      </w:tblGrid>
      <w:tr w:rsidR="00E42CFA" w:rsidRPr="00AD0F85" w:rsidTr="009D2450">
        <w:tc>
          <w:tcPr>
            <w:tcW w:w="4750" w:type="dxa"/>
          </w:tcPr>
          <w:p w:rsidR="009D2450" w:rsidRDefault="00AD0F85" w:rsidP="00F53CD7">
            <w:pPr>
              <w:spacing w:after="120"/>
              <w:jc w:val="center"/>
              <w:rPr>
                <w:highlight w:val="green"/>
              </w:rPr>
            </w:pPr>
            <w:r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650532</wp:posOffset>
                      </wp:positionH>
                      <wp:positionV relativeFrom="paragraph">
                        <wp:posOffset>211129</wp:posOffset>
                      </wp:positionV>
                      <wp:extent cx="2660822" cy="749162"/>
                      <wp:effectExtent l="38100" t="0" r="25400" b="70485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60822" cy="74916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A0905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" o:spid="_x0000_s1026" type="#_x0000_t32" style="position:absolute;margin-left:51.2pt;margin-top:16.6pt;width:209.5pt;height:59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CL" w:eastAsia="es-CL"/>
              </w:rPr>
              <w:drawing>
                <wp:inline distT="0" distB="0" distL="0" distR="0" wp14:anchorId="3551D01F" wp14:editId="1D60534E">
                  <wp:extent cx="2347784" cy="1725470"/>
                  <wp:effectExtent l="0" t="0" r="0" b="825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334" cy="177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9D2450" w:rsidRPr="00AD0F85" w:rsidRDefault="00AD0F85" w:rsidP="00F53CD7">
            <w:pPr>
              <w:spacing w:after="120"/>
              <w:jc w:val="center"/>
            </w:pPr>
            <w:r w:rsidRPr="00AD0F85">
              <w:t>PLANTA SANTA FE</w:t>
            </w:r>
          </w:p>
          <w:p w:rsidR="00AD0F85" w:rsidRPr="00AD0F85" w:rsidRDefault="00AD0F85" w:rsidP="00F53CD7">
            <w:pPr>
              <w:spacing w:after="120"/>
              <w:jc w:val="center"/>
            </w:pPr>
            <w:r w:rsidRPr="00AD0F85">
              <w:t>Identificación de las Hojas de Seguridad</w:t>
            </w:r>
          </w:p>
        </w:tc>
      </w:tr>
      <w:tr w:rsidR="00E42CFA" w:rsidTr="009D2450">
        <w:tc>
          <w:tcPr>
            <w:tcW w:w="4750" w:type="dxa"/>
          </w:tcPr>
          <w:p w:rsidR="00AD0F85" w:rsidRDefault="00E42CFA" w:rsidP="00E42CFA">
            <w:pPr>
              <w:spacing w:after="120"/>
              <w:jc w:val="center"/>
              <w:rPr>
                <w:highlight w:val="green"/>
              </w:rPr>
            </w:pPr>
            <w:r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DBF372A" wp14:editId="5BB44ACE">
                      <wp:simplePos x="0" y="0"/>
                      <wp:positionH relativeFrom="column">
                        <wp:posOffset>1713470</wp:posOffset>
                      </wp:positionH>
                      <wp:positionV relativeFrom="paragraph">
                        <wp:posOffset>322959</wp:posOffset>
                      </wp:positionV>
                      <wp:extent cx="1433212" cy="1095632"/>
                      <wp:effectExtent l="38100" t="0" r="33655" b="47625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3212" cy="109563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D9F52" id="Conector recto de flecha 8" o:spid="_x0000_s1026" type="#_x0000_t32" style="position:absolute;margin-left:134.9pt;margin-top:25.45pt;width:112.85pt;height:86.25pt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CL" w:eastAsia="es-CL"/>
              </w:rPr>
              <w:drawing>
                <wp:inline distT="0" distB="0" distL="0" distR="0" wp14:anchorId="47A909EE" wp14:editId="3AEED7B0">
                  <wp:extent cx="2166551" cy="2251586"/>
                  <wp:effectExtent l="0" t="0" r="571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59" cy="2292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AD0F85" w:rsidRPr="00AD0F85" w:rsidRDefault="00AD0F85" w:rsidP="00AD0F85">
            <w:pPr>
              <w:spacing w:after="120"/>
              <w:jc w:val="center"/>
            </w:pPr>
            <w:r>
              <w:t>PLANTA PACÍFICO</w:t>
            </w:r>
          </w:p>
          <w:p w:rsidR="009D2450" w:rsidRDefault="00AD0F85" w:rsidP="00AD0F85">
            <w:pPr>
              <w:spacing w:after="120"/>
              <w:jc w:val="center"/>
              <w:rPr>
                <w:highlight w:val="green"/>
              </w:rPr>
            </w:pPr>
            <w:r w:rsidRPr="00AD0F85">
              <w:t>Identificación de las Hojas de Seguridad</w:t>
            </w:r>
          </w:p>
        </w:tc>
      </w:tr>
      <w:tr w:rsidR="00E42CFA" w:rsidTr="009D2450">
        <w:tc>
          <w:tcPr>
            <w:tcW w:w="4750" w:type="dxa"/>
          </w:tcPr>
          <w:p w:rsidR="00E42CFA" w:rsidRDefault="00E42CFA" w:rsidP="00F53CD7">
            <w:pPr>
              <w:spacing w:after="120"/>
              <w:jc w:val="center"/>
              <w:rPr>
                <w:highlight w:val="green"/>
              </w:rPr>
            </w:pPr>
            <w:r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375D55AA" wp14:editId="12AC3F04">
                      <wp:simplePos x="0" y="0"/>
                      <wp:positionH relativeFrom="column">
                        <wp:posOffset>766119</wp:posOffset>
                      </wp:positionH>
                      <wp:positionV relativeFrom="paragraph">
                        <wp:posOffset>357643</wp:posOffset>
                      </wp:positionV>
                      <wp:extent cx="2405260" cy="741406"/>
                      <wp:effectExtent l="38100" t="0" r="14605" b="78105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05260" cy="74140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2F9AB" id="Conector recto de flecha 12" o:spid="_x0000_s1026" type="#_x0000_t32" style="position:absolute;margin-left:60.3pt;margin-top:28.15pt;width:189.4pt;height:58.4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CL" w:eastAsia="es-CL"/>
              </w:rPr>
              <w:drawing>
                <wp:inline distT="0" distB="0" distL="0" distR="0" wp14:anchorId="5785C631" wp14:editId="2C4FCC57">
                  <wp:extent cx="2315347" cy="2356529"/>
                  <wp:effectExtent l="0" t="0" r="8890" b="571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480" cy="2370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2CFA" w:rsidRDefault="00E42CFA" w:rsidP="00F53CD7">
            <w:pPr>
              <w:spacing w:after="120"/>
              <w:jc w:val="center"/>
              <w:rPr>
                <w:highlight w:val="green"/>
              </w:rPr>
            </w:pPr>
          </w:p>
          <w:p w:rsidR="00E42CFA" w:rsidRDefault="00E42CFA" w:rsidP="00F53CD7">
            <w:pPr>
              <w:spacing w:after="120"/>
              <w:jc w:val="center"/>
              <w:rPr>
                <w:highlight w:val="green"/>
              </w:rPr>
            </w:pPr>
          </w:p>
        </w:tc>
        <w:tc>
          <w:tcPr>
            <w:tcW w:w="4750" w:type="dxa"/>
          </w:tcPr>
          <w:p w:rsidR="00E42CFA" w:rsidRPr="00AD0F85" w:rsidRDefault="00E42CFA" w:rsidP="00E42CFA">
            <w:pPr>
              <w:spacing w:after="120"/>
              <w:jc w:val="center"/>
            </w:pPr>
            <w:r>
              <w:t>PLANTA LAJA</w:t>
            </w:r>
          </w:p>
          <w:p w:rsidR="009D2450" w:rsidRDefault="00E42CFA" w:rsidP="00E42CFA">
            <w:pPr>
              <w:spacing w:after="120"/>
              <w:jc w:val="center"/>
              <w:rPr>
                <w:highlight w:val="green"/>
              </w:rPr>
            </w:pPr>
            <w:r w:rsidRPr="00AD0F85">
              <w:t>Identificación de las Hojas de Seguridad</w:t>
            </w:r>
          </w:p>
        </w:tc>
      </w:tr>
    </w:tbl>
    <w:p w:rsidR="00664F56" w:rsidRPr="00F53CD7" w:rsidRDefault="00664F56" w:rsidP="00F31ECF">
      <w:pPr>
        <w:spacing w:after="120"/>
      </w:pPr>
    </w:p>
    <w:p w:rsidR="004B7324" w:rsidRPr="00F53CD7" w:rsidRDefault="00F31ECF" w:rsidP="00BF5612">
      <w:pPr>
        <w:pStyle w:val="Ttulo2"/>
        <w:spacing w:afterLines="0" w:after="120"/>
        <w:jc w:val="both"/>
      </w:pPr>
      <w:r>
        <w:t>5</w:t>
      </w:r>
      <w:r w:rsidR="004B7324" w:rsidRPr="00F53CD7">
        <w:t>.2.</w:t>
      </w:r>
      <w:r w:rsidR="004B7324" w:rsidRPr="00F53CD7">
        <w:tab/>
        <w:t>Ejecutantes de Actividades con Productos Químicos</w:t>
      </w:r>
    </w:p>
    <w:p w:rsidR="004B7324" w:rsidRPr="00F53CD7" w:rsidRDefault="004B7324" w:rsidP="00BF5612">
      <w:pPr>
        <w:spacing w:after="120"/>
        <w:jc w:val="both"/>
      </w:pPr>
      <w:r w:rsidRPr="00F53CD7">
        <w:t xml:space="preserve">Los ejecutantes deberán ser capacitados por el Responsable de la Actividad, de acuerdo con </w:t>
      </w:r>
      <w:r w:rsidR="00F53CD7">
        <w:t xml:space="preserve">el AST, y conocer los peligros y </w:t>
      </w:r>
      <w:r w:rsidRPr="00F53CD7">
        <w:t xml:space="preserve">riesgos </w:t>
      </w:r>
      <w:r w:rsidR="00F53CD7">
        <w:t xml:space="preserve">involucrados en la tarea, así como los </w:t>
      </w:r>
      <w:r w:rsidRPr="00F53CD7">
        <w:t>controles a ser adoptados.</w:t>
      </w:r>
    </w:p>
    <w:p w:rsidR="004B7324" w:rsidRPr="00F53CD7" w:rsidRDefault="004B7324" w:rsidP="00BF5612">
      <w:pPr>
        <w:spacing w:after="120"/>
        <w:jc w:val="both"/>
      </w:pPr>
      <w:r w:rsidRPr="00F53CD7">
        <w:t>En la autorización de la actividad se deberá verificar la aptitud del trabajador para utilizar protección respiratoria, así como la ausencia de vello facial. La presencia de barba y bigote impedirá que el trabajador participe en la actividad.</w:t>
      </w:r>
    </w:p>
    <w:p w:rsidR="004B7324" w:rsidRPr="00F53CD7" w:rsidRDefault="004B7324" w:rsidP="00BF5612">
      <w:pPr>
        <w:spacing w:after="120"/>
        <w:jc w:val="both"/>
      </w:pPr>
      <w:r w:rsidRPr="00F53CD7">
        <w:t xml:space="preserve">La </w:t>
      </w:r>
      <w:r w:rsidR="00F53CD7">
        <w:t>vigencia</w:t>
      </w:r>
      <w:r w:rsidRPr="00F53CD7">
        <w:t xml:space="preserve"> de la capacitación en protección respiratoria en la identificación se especificará en el campo de capacitación para la actividad del PTE –</w:t>
      </w:r>
      <w:r w:rsidR="00F53CD7">
        <w:t xml:space="preserve"> </w:t>
      </w:r>
      <w:r w:rsidRPr="00F53CD7">
        <w:t>Productos Químicos.</w:t>
      </w:r>
    </w:p>
    <w:p w:rsidR="004B7324" w:rsidRPr="00F53CD7" w:rsidRDefault="00F31ECF" w:rsidP="00BF5612">
      <w:pPr>
        <w:pStyle w:val="Ttulo2"/>
        <w:spacing w:afterLines="0" w:after="120"/>
        <w:jc w:val="both"/>
      </w:pPr>
      <w:r>
        <w:t>5</w:t>
      </w:r>
      <w:r w:rsidR="004B7324" w:rsidRPr="00F53CD7">
        <w:t>.3.</w:t>
      </w:r>
      <w:r w:rsidR="004B7324" w:rsidRPr="00F53CD7">
        <w:tab/>
        <w:t>Utilización del Equipo de Protección Personal (EPP)</w:t>
      </w:r>
    </w:p>
    <w:p w:rsidR="004B7324" w:rsidRPr="00F53CD7" w:rsidRDefault="004B7324" w:rsidP="00BF5612">
      <w:pPr>
        <w:spacing w:after="120"/>
        <w:jc w:val="both"/>
      </w:pPr>
      <w:r w:rsidRPr="00F53CD7">
        <w:t xml:space="preserve">El AST deberá especificar el EPP </w:t>
      </w:r>
      <w:r w:rsidR="00F53CD7">
        <w:t>a</w:t>
      </w:r>
      <w:r w:rsidRPr="00F53CD7">
        <w:t xml:space="preserve"> ser utilizado por los trabajadores, indicando el tipo de protecc</w:t>
      </w:r>
      <w:r w:rsidR="0016293A">
        <w:t xml:space="preserve">ión de acuerdo a </w:t>
      </w:r>
      <w:r w:rsidR="005148CB" w:rsidRPr="00664F56">
        <w:t>Ins</w:t>
      </w:r>
      <w:r w:rsidR="005148CB">
        <w:t>tructivo Uso de Barrera química CMPC PULP SPA</w:t>
      </w:r>
    </w:p>
    <w:p w:rsidR="004B7324" w:rsidRPr="00F53CD7" w:rsidRDefault="00F31ECF" w:rsidP="00BF5612">
      <w:pPr>
        <w:pStyle w:val="Ttulo2"/>
        <w:spacing w:afterLines="0" w:after="120"/>
        <w:jc w:val="both"/>
      </w:pPr>
      <w:r>
        <w:t>5</w:t>
      </w:r>
      <w:r w:rsidR="004B7324" w:rsidRPr="00F53CD7">
        <w:t>.4. Disposición de Productos Químicos</w:t>
      </w:r>
    </w:p>
    <w:p w:rsidR="004B7324" w:rsidRPr="00F53CD7" w:rsidRDefault="004B7324" w:rsidP="00BF5612">
      <w:pPr>
        <w:spacing w:after="120"/>
        <w:jc w:val="both"/>
      </w:pPr>
      <w:r w:rsidRPr="00F53CD7">
        <w:t>La disposición de los productos químicos y sus envase</w:t>
      </w:r>
      <w:r w:rsidR="00F53CD7">
        <w:t>s, deberá estar incluida en el AST</w:t>
      </w:r>
      <w:r w:rsidRPr="00F53CD7">
        <w:t>, y seguir los procedimientos específicos de CMPC.</w:t>
      </w:r>
    </w:p>
    <w:p w:rsidR="004B7324" w:rsidRPr="00F53CD7" w:rsidRDefault="00F31ECF" w:rsidP="00BF5612">
      <w:pPr>
        <w:pStyle w:val="Ttulo2"/>
        <w:spacing w:afterLines="0" w:after="120"/>
        <w:jc w:val="both"/>
      </w:pPr>
      <w:r>
        <w:t>5.</w:t>
      </w:r>
      <w:r w:rsidR="004B7324" w:rsidRPr="00F53CD7">
        <w:t>5. Fraccionamiento</w:t>
      </w:r>
    </w:p>
    <w:p w:rsidR="005148CB" w:rsidRDefault="004B7324" w:rsidP="00BF5612">
      <w:pPr>
        <w:spacing w:after="120"/>
        <w:jc w:val="both"/>
      </w:pPr>
      <w:r w:rsidRPr="00F53CD7">
        <w:t xml:space="preserve">Si hubiera necesidad de fraccionar los productos químicos a ser utilizados en las </w:t>
      </w:r>
      <w:r w:rsidR="00F53CD7">
        <w:t>tareas</w:t>
      </w:r>
      <w:r w:rsidRPr="00F53CD7">
        <w:t xml:space="preserve">, dicho fraccionamiento </w:t>
      </w:r>
      <w:r w:rsidR="005148CB">
        <w:t>debe ser realizado en un lugar establecido para tal efecto asegurando el cumplimiento de la disposiciones legales.</w:t>
      </w:r>
    </w:p>
    <w:p w:rsidR="004B7324" w:rsidRPr="00F53CD7" w:rsidRDefault="003A34A9" w:rsidP="00BF5612">
      <w:pPr>
        <w:spacing w:after="120"/>
        <w:jc w:val="both"/>
      </w:pPr>
      <w:r w:rsidRPr="00664F56">
        <w:rPr>
          <w:color w:val="000000" w:themeColor="text1"/>
        </w:rPr>
        <w:t xml:space="preserve">Para trabajos en laboratorios su fraccionamiento </w:t>
      </w:r>
      <w:r w:rsidR="005148CB">
        <w:rPr>
          <w:color w:val="000000" w:themeColor="text1"/>
        </w:rPr>
        <w:t xml:space="preserve">será </w:t>
      </w:r>
      <w:r w:rsidRPr="00664F56">
        <w:rPr>
          <w:color w:val="000000" w:themeColor="text1"/>
        </w:rPr>
        <w:t xml:space="preserve">en el </w:t>
      </w:r>
      <w:r w:rsidR="00A0253B" w:rsidRPr="00664F56">
        <w:rPr>
          <w:color w:val="000000" w:themeColor="text1"/>
        </w:rPr>
        <w:t>área</w:t>
      </w:r>
      <w:r w:rsidR="004B7324" w:rsidRPr="00F53CD7">
        <w:t xml:space="preserve">, </w:t>
      </w:r>
      <w:r w:rsidR="005148CB">
        <w:t>para todos los casos se debe considerar</w:t>
      </w:r>
      <w:r w:rsidR="004B7324" w:rsidRPr="00F53CD7">
        <w:t>:</w:t>
      </w:r>
    </w:p>
    <w:p w:rsidR="004B7324" w:rsidRPr="00F53CD7" w:rsidRDefault="004B7324" w:rsidP="00BF5612">
      <w:pPr>
        <w:pStyle w:val="Prrafodelista"/>
        <w:numPr>
          <w:ilvl w:val="0"/>
          <w:numId w:val="5"/>
        </w:numPr>
        <w:spacing w:after="120"/>
        <w:ind w:left="720" w:hanging="360"/>
        <w:jc w:val="both"/>
      </w:pPr>
      <w:r w:rsidRPr="00F53CD7">
        <w:t xml:space="preserve">Los datos de la </w:t>
      </w:r>
      <w:r w:rsidR="003A34A9" w:rsidRPr="00664F56">
        <w:t>HDS</w:t>
      </w:r>
    </w:p>
    <w:p w:rsidR="004B7324" w:rsidRPr="00F53CD7" w:rsidRDefault="004B7324" w:rsidP="00BF5612">
      <w:pPr>
        <w:pStyle w:val="Prrafodelista"/>
        <w:numPr>
          <w:ilvl w:val="0"/>
          <w:numId w:val="5"/>
        </w:numPr>
        <w:spacing w:after="120"/>
        <w:ind w:left="720" w:hanging="360"/>
        <w:jc w:val="both"/>
      </w:pPr>
      <w:r w:rsidRPr="00F53CD7">
        <w:t xml:space="preserve">El etiquetado de los </w:t>
      </w:r>
      <w:r w:rsidR="00F53CD7">
        <w:t>envases</w:t>
      </w:r>
    </w:p>
    <w:p w:rsidR="004B7324" w:rsidRPr="00F53CD7" w:rsidRDefault="003D2AE0" w:rsidP="00BF5612">
      <w:pPr>
        <w:pStyle w:val="Prrafodelista"/>
        <w:numPr>
          <w:ilvl w:val="0"/>
          <w:numId w:val="5"/>
        </w:numPr>
        <w:spacing w:after="120"/>
        <w:ind w:left="720" w:hanging="360"/>
        <w:jc w:val="both"/>
      </w:pPr>
      <w:r>
        <w:t xml:space="preserve">La aplicación </w:t>
      </w:r>
      <w:r w:rsidR="004B7324" w:rsidRPr="00F53CD7">
        <w:t xml:space="preserve">de </w:t>
      </w:r>
      <w:r w:rsidR="00F53CD7" w:rsidRPr="00664F56">
        <w:t>las medidas</w:t>
      </w:r>
      <w:r w:rsidR="004B7324" w:rsidRPr="00664F56">
        <w:t xml:space="preserve"> </w:t>
      </w:r>
      <w:r w:rsidR="00F53CD7" w:rsidRPr="00664F56">
        <w:t>de control especificados</w:t>
      </w:r>
      <w:r w:rsidR="004B7324" w:rsidRPr="00F53CD7">
        <w:t xml:space="preserve"> en el AST</w:t>
      </w:r>
    </w:p>
    <w:p w:rsidR="004B7324" w:rsidRPr="00F53CD7" w:rsidRDefault="004B7324" w:rsidP="00BF5612">
      <w:pPr>
        <w:pStyle w:val="Prrafodelista"/>
        <w:numPr>
          <w:ilvl w:val="0"/>
          <w:numId w:val="5"/>
        </w:numPr>
        <w:spacing w:after="120"/>
        <w:ind w:left="720" w:hanging="360"/>
        <w:jc w:val="both"/>
      </w:pPr>
      <w:r w:rsidRPr="00F53CD7">
        <w:t>El aterrizaje de los contenedores durante la transferencia, según las necesidades</w:t>
      </w:r>
      <w:r w:rsidR="00F53CD7">
        <w:t>.</w:t>
      </w:r>
    </w:p>
    <w:p w:rsidR="004B7324" w:rsidRPr="00F53CD7" w:rsidRDefault="00F31ECF" w:rsidP="00BF5612">
      <w:pPr>
        <w:pStyle w:val="Ttulo2"/>
        <w:spacing w:afterLines="0" w:after="120"/>
        <w:jc w:val="both"/>
      </w:pPr>
      <w:r>
        <w:t>5.</w:t>
      </w:r>
      <w:r w:rsidR="004B7324" w:rsidRPr="00F53CD7">
        <w:t>6.</w:t>
      </w:r>
      <w:r w:rsidR="007E1EE4" w:rsidRPr="00F53CD7">
        <w:tab/>
        <w:t xml:space="preserve">Emergencias </w:t>
      </w:r>
    </w:p>
    <w:p w:rsidR="004B7324" w:rsidRPr="00F53CD7" w:rsidRDefault="004B7324" w:rsidP="00BF5612">
      <w:pPr>
        <w:pStyle w:val="Prrafodelista"/>
        <w:numPr>
          <w:ilvl w:val="0"/>
          <w:numId w:val="5"/>
        </w:numPr>
        <w:spacing w:after="120"/>
        <w:ind w:left="720" w:hanging="360"/>
        <w:jc w:val="both"/>
      </w:pPr>
      <w:r w:rsidRPr="00F53CD7">
        <w:t>Las medidas para la mitigación de situaciones de emergencia deberán ser previstas en el AST</w:t>
      </w:r>
    </w:p>
    <w:p w:rsidR="004B7324" w:rsidRPr="00F53CD7" w:rsidRDefault="004B7324" w:rsidP="00BF5612">
      <w:pPr>
        <w:pStyle w:val="Prrafodelista"/>
        <w:numPr>
          <w:ilvl w:val="0"/>
          <w:numId w:val="5"/>
        </w:numPr>
        <w:spacing w:after="120"/>
        <w:ind w:left="720" w:hanging="360"/>
        <w:jc w:val="both"/>
      </w:pPr>
      <w:r w:rsidRPr="00F53CD7">
        <w:t xml:space="preserve">Informar inmediatamente y entregar una </w:t>
      </w:r>
      <w:r w:rsidR="00A0253B" w:rsidRPr="00664F56">
        <w:t>HDS</w:t>
      </w:r>
      <w:r w:rsidRPr="00664F56">
        <w:t xml:space="preserve"> al </w:t>
      </w:r>
      <w:r w:rsidR="00A0253B" w:rsidRPr="00664F56">
        <w:t>COE</w:t>
      </w:r>
    </w:p>
    <w:p w:rsidR="004B7324" w:rsidRDefault="004B7324" w:rsidP="00BF5612">
      <w:pPr>
        <w:pStyle w:val="Prrafodelista"/>
        <w:numPr>
          <w:ilvl w:val="0"/>
          <w:numId w:val="5"/>
        </w:numPr>
        <w:spacing w:after="120"/>
        <w:ind w:left="720" w:hanging="360"/>
        <w:jc w:val="both"/>
      </w:pPr>
      <w:r w:rsidRPr="00F53CD7">
        <w:t xml:space="preserve">En caso de accidente que involucre productos químicos, </w:t>
      </w:r>
      <w:r w:rsidR="003D2AE0">
        <w:t>activar</w:t>
      </w:r>
      <w:r w:rsidRPr="00F53CD7">
        <w:t xml:space="preserve"> el plan de </w:t>
      </w:r>
      <w:r w:rsidR="00F53CD7" w:rsidRPr="00F53CD7">
        <w:t>respuesta</w:t>
      </w:r>
      <w:r w:rsidRPr="00F53CD7">
        <w:t xml:space="preserve"> ante emergencias.</w:t>
      </w:r>
    </w:p>
    <w:p w:rsidR="009A0549" w:rsidRDefault="009A0549" w:rsidP="00BF5612">
      <w:pPr>
        <w:spacing w:after="120"/>
        <w:jc w:val="both"/>
        <w:rPr>
          <w:b/>
        </w:rPr>
      </w:pPr>
      <w:r w:rsidRPr="009A0549">
        <w:rPr>
          <w:b/>
        </w:rPr>
        <w:t>6. DOCUMENTOS DE REFERENCIAS.</w:t>
      </w:r>
    </w:p>
    <w:p w:rsidR="009A0549" w:rsidRDefault="009A0549" w:rsidP="00BF5612">
      <w:pPr>
        <w:pStyle w:val="Prrafodelista"/>
        <w:numPr>
          <w:ilvl w:val="0"/>
          <w:numId w:val="16"/>
        </w:numPr>
        <w:spacing w:after="120"/>
        <w:jc w:val="both"/>
      </w:pPr>
      <w:r w:rsidRPr="009A0549">
        <w:t>D.S. 594</w:t>
      </w:r>
    </w:p>
    <w:p w:rsidR="009A0549" w:rsidRDefault="009A0549" w:rsidP="00BF5612">
      <w:pPr>
        <w:pStyle w:val="Prrafodelista"/>
        <w:numPr>
          <w:ilvl w:val="0"/>
          <w:numId w:val="16"/>
        </w:numPr>
        <w:spacing w:after="120"/>
        <w:jc w:val="both"/>
      </w:pPr>
      <w:r>
        <w:t>HDS</w:t>
      </w:r>
    </w:p>
    <w:p w:rsidR="009A0549" w:rsidRDefault="009A0549" w:rsidP="00BF5612">
      <w:pPr>
        <w:pStyle w:val="Prrafodelista"/>
        <w:numPr>
          <w:ilvl w:val="0"/>
          <w:numId w:val="16"/>
        </w:numPr>
        <w:spacing w:after="120"/>
        <w:jc w:val="both"/>
      </w:pPr>
      <w:r>
        <w:t>Instructivo Uso Barrera Química CMPC Pulp.</w:t>
      </w:r>
    </w:p>
    <w:p w:rsidR="009A0549" w:rsidRPr="009A0549" w:rsidRDefault="009A0549" w:rsidP="00BF5612">
      <w:pPr>
        <w:pStyle w:val="Prrafodelista"/>
        <w:numPr>
          <w:ilvl w:val="0"/>
          <w:numId w:val="16"/>
        </w:numPr>
        <w:spacing w:after="120"/>
        <w:jc w:val="both"/>
      </w:pPr>
      <w:r>
        <w:t>Nch 382</w:t>
      </w:r>
    </w:p>
    <w:p w:rsidR="009A0549" w:rsidRDefault="009A0549" w:rsidP="00BF5612">
      <w:pPr>
        <w:spacing w:after="120"/>
        <w:jc w:val="both"/>
      </w:pPr>
    </w:p>
    <w:p w:rsidR="00F31ECF" w:rsidRDefault="00F31ECF" w:rsidP="00F31ECF">
      <w:pPr>
        <w:spacing w:after="120"/>
      </w:pPr>
    </w:p>
    <w:p w:rsidR="00F31ECF" w:rsidRPr="00F53CD7" w:rsidRDefault="00F31ECF" w:rsidP="00F31ECF">
      <w:pPr>
        <w:spacing w:after="120"/>
      </w:pPr>
    </w:p>
    <w:sectPr w:rsidR="00F31ECF" w:rsidRPr="00F53CD7" w:rsidSect="00475CA4">
      <w:headerReference w:type="default" r:id="rId10"/>
      <w:type w:val="continuous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5639" w:rsidRDefault="00D65639" w:rsidP="003F728E">
      <w:r>
        <w:separator/>
      </w:r>
    </w:p>
  </w:endnote>
  <w:endnote w:type="continuationSeparator" w:id="0">
    <w:p w:rsidR="00D65639" w:rsidRDefault="00D65639" w:rsidP="003F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5639" w:rsidRDefault="00D65639" w:rsidP="003F728E">
      <w:r>
        <w:separator/>
      </w:r>
    </w:p>
  </w:footnote>
  <w:footnote w:type="continuationSeparator" w:id="0">
    <w:p w:rsidR="00D65639" w:rsidRDefault="00D65639" w:rsidP="003F7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245"/>
      <w:gridCol w:w="4950"/>
      <w:gridCol w:w="2155"/>
    </w:tblGrid>
    <w:tr w:rsidR="004B7324" w:rsidRPr="003F728E" w:rsidTr="0034712B">
      <w:tc>
        <w:tcPr>
          <w:tcW w:w="2245" w:type="dxa"/>
        </w:tcPr>
        <w:p w:rsidR="004B7324" w:rsidRPr="003F728E" w:rsidRDefault="004B7324" w:rsidP="004B7324">
          <w:pPr>
            <w:pStyle w:val="Encabezado"/>
          </w:pPr>
          <w:r w:rsidRPr="003F728E">
            <w:rPr>
              <w:noProof/>
              <w:lang w:val="es-CL" w:eastAsia="es-CL"/>
            </w:rPr>
            <w:drawing>
              <wp:inline distT="0" distB="0" distL="0" distR="0" wp14:anchorId="4CC3B898" wp14:editId="0B8D7038">
                <wp:extent cx="1161905" cy="333333"/>
                <wp:effectExtent l="0" t="0" r="63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1905" cy="333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0" w:type="dxa"/>
        </w:tcPr>
        <w:p w:rsidR="004B7324" w:rsidRPr="003F728E" w:rsidRDefault="004B7324" w:rsidP="00664F56">
          <w:pPr>
            <w:pStyle w:val="Encabezado"/>
            <w:jc w:val="center"/>
          </w:pPr>
          <w:r>
            <w:rPr>
              <w:b/>
            </w:rPr>
            <w:t xml:space="preserve">PROCEDIMIENTO PARA LA AUTORIZACIÓN DE TRABAJO </w:t>
          </w:r>
          <w:r w:rsidR="00182ADE" w:rsidRPr="00664F56">
            <w:rPr>
              <w:b/>
            </w:rPr>
            <w:t>CON</w:t>
          </w:r>
          <w:r w:rsidR="00182ADE">
            <w:rPr>
              <w:b/>
            </w:rPr>
            <w:t xml:space="preserve"> </w:t>
          </w:r>
          <w:r w:rsidR="001E3523">
            <w:rPr>
              <w:b/>
            </w:rPr>
            <w:t xml:space="preserve">PRODUCTOS </w:t>
          </w:r>
          <w:r>
            <w:rPr>
              <w:b/>
            </w:rPr>
            <w:t>QUÍMIC</w:t>
          </w:r>
          <w:r w:rsidR="001E3523">
            <w:rPr>
              <w:b/>
            </w:rPr>
            <w:t>O</w:t>
          </w:r>
          <w:r>
            <w:rPr>
              <w:b/>
            </w:rPr>
            <w:t xml:space="preserve">S </w:t>
          </w:r>
        </w:p>
      </w:tc>
      <w:tc>
        <w:tcPr>
          <w:tcW w:w="2155" w:type="dxa"/>
        </w:tcPr>
        <w:p w:rsidR="004B7324" w:rsidRPr="003F728E" w:rsidRDefault="004B7324" w:rsidP="004B7324">
          <w:pPr>
            <w:pStyle w:val="Encabezado"/>
          </w:pPr>
          <w:r w:rsidRPr="003F728E">
            <w:t>Revisión: 00</w:t>
          </w:r>
        </w:p>
        <w:p w:rsidR="004B7324" w:rsidRPr="003F728E" w:rsidRDefault="004B7324" w:rsidP="00BC5405">
          <w:pPr>
            <w:pStyle w:val="Encabezado"/>
          </w:pPr>
          <w:r w:rsidRPr="003F728E">
            <w:t xml:space="preserve">Fecha: </w:t>
          </w:r>
          <w:r w:rsidR="00BC5405">
            <w:t>12/08/2021</w:t>
          </w:r>
        </w:p>
      </w:tc>
    </w:tr>
    <w:tr w:rsidR="004B7324" w:rsidRPr="003F728E" w:rsidTr="0034712B">
      <w:tc>
        <w:tcPr>
          <w:tcW w:w="2245" w:type="dxa"/>
        </w:tcPr>
        <w:p w:rsidR="004B7324" w:rsidRPr="003F728E" w:rsidRDefault="004B7324" w:rsidP="00BC5405">
          <w:pPr>
            <w:pStyle w:val="Encabezado"/>
          </w:pPr>
          <w:r w:rsidRPr="003F728E">
            <w:t xml:space="preserve">Emisión: </w:t>
          </w:r>
          <w:r w:rsidR="00BC5405">
            <w:t>AGO 2021</w:t>
          </w:r>
        </w:p>
      </w:tc>
      <w:tc>
        <w:tcPr>
          <w:tcW w:w="4950" w:type="dxa"/>
        </w:tcPr>
        <w:p w:rsidR="004B7324" w:rsidRPr="003F728E" w:rsidRDefault="004B7324" w:rsidP="004B7324">
          <w:pPr>
            <w:pStyle w:val="Encabezado"/>
            <w:jc w:val="center"/>
          </w:pPr>
          <w:r w:rsidRPr="003F728E">
            <w:t>PROCEDIMIENTO</w:t>
          </w:r>
        </w:p>
      </w:tc>
      <w:tc>
        <w:tcPr>
          <w:tcW w:w="2155" w:type="dxa"/>
        </w:tcPr>
        <w:p w:rsidR="004B7324" w:rsidRPr="003F728E" w:rsidRDefault="004B7324" w:rsidP="004B7324">
          <w:pPr>
            <w:pStyle w:val="Encabezado"/>
          </w:pPr>
          <w:r w:rsidRPr="003F728E">
            <w:rPr>
              <w:lang w:val="es-ES"/>
            </w:rPr>
            <w:t xml:space="preserve">Página </w:t>
          </w:r>
          <w:r w:rsidRPr="003F728E">
            <w:fldChar w:fldCharType="begin"/>
          </w:r>
          <w:r w:rsidRPr="003F728E">
            <w:instrText>PAGE  \* Arabic  \* MERGEFORMAT</w:instrText>
          </w:r>
          <w:r w:rsidRPr="003F728E">
            <w:fldChar w:fldCharType="separate"/>
          </w:r>
          <w:r w:rsidR="00BC5405" w:rsidRPr="00BC5405">
            <w:rPr>
              <w:noProof/>
              <w:lang w:val="es-ES"/>
            </w:rPr>
            <w:t>5</w:t>
          </w:r>
          <w:r w:rsidRPr="003F728E">
            <w:fldChar w:fldCharType="end"/>
          </w:r>
          <w:r w:rsidRPr="003F728E">
            <w:rPr>
              <w:lang w:val="es-ES"/>
            </w:rPr>
            <w:t xml:space="preserve"> de </w:t>
          </w:r>
          <w:r>
            <w:rPr>
              <w:noProof/>
              <w:lang w:val="es-ES"/>
            </w:rPr>
            <w:fldChar w:fldCharType="begin"/>
          </w:r>
          <w:r>
            <w:rPr>
              <w:noProof/>
              <w:lang w:val="es-ES"/>
            </w:rPr>
            <w:instrText>NUMPAGES  \* Arabic  \* MERGEFORMAT</w:instrText>
          </w:r>
          <w:r>
            <w:rPr>
              <w:noProof/>
              <w:lang w:val="es-ES"/>
            </w:rPr>
            <w:fldChar w:fldCharType="separate"/>
          </w:r>
          <w:r w:rsidR="00BC5405">
            <w:rPr>
              <w:noProof/>
              <w:lang w:val="es-ES"/>
            </w:rPr>
            <w:t>5</w:t>
          </w:r>
          <w:r>
            <w:rPr>
              <w:noProof/>
              <w:lang w:val="es-ES"/>
            </w:rPr>
            <w:fldChar w:fldCharType="end"/>
          </w:r>
        </w:p>
      </w:tc>
    </w:tr>
  </w:tbl>
  <w:p w:rsidR="003F728E" w:rsidRPr="004B7324" w:rsidRDefault="003F728E" w:rsidP="004B73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129C"/>
    <w:multiLevelType w:val="hybridMultilevel"/>
    <w:tmpl w:val="404632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C21F3"/>
    <w:multiLevelType w:val="hybridMultilevel"/>
    <w:tmpl w:val="4B4E4B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757D0"/>
    <w:multiLevelType w:val="hybridMultilevel"/>
    <w:tmpl w:val="F82C5CA2"/>
    <w:lvl w:ilvl="0" w:tplc="E58493D8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  <w:lang w:val="es-MX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175AF"/>
    <w:multiLevelType w:val="hybridMultilevel"/>
    <w:tmpl w:val="310E694A"/>
    <w:lvl w:ilvl="0" w:tplc="E58493D8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  <w:lang w:val="es-MX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64ED3"/>
    <w:multiLevelType w:val="multilevel"/>
    <w:tmpl w:val="509CFD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B1F66DD"/>
    <w:multiLevelType w:val="hybridMultilevel"/>
    <w:tmpl w:val="09B01B92"/>
    <w:lvl w:ilvl="0" w:tplc="E58493D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81CB4"/>
    <w:multiLevelType w:val="hybridMultilevel"/>
    <w:tmpl w:val="B4FCD0CC"/>
    <w:lvl w:ilvl="0" w:tplc="E58493D8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  <w:lang w:val="es-MX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C12B9"/>
    <w:multiLevelType w:val="hybridMultilevel"/>
    <w:tmpl w:val="E7E4A5DA"/>
    <w:lvl w:ilvl="0" w:tplc="E58493D8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  <w:lang w:val="es-MX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10FF2"/>
    <w:multiLevelType w:val="hybridMultilevel"/>
    <w:tmpl w:val="DF5681E6"/>
    <w:lvl w:ilvl="0" w:tplc="E58493D8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  <w:lang w:val="es-MX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95528"/>
    <w:multiLevelType w:val="hybridMultilevel"/>
    <w:tmpl w:val="46A6C5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A7E44"/>
    <w:multiLevelType w:val="hybridMultilevel"/>
    <w:tmpl w:val="823E2CAC"/>
    <w:lvl w:ilvl="0" w:tplc="340A0001">
      <w:start w:val="1"/>
      <w:numFmt w:val="bullet"/>
      <w:lvlText w:val=""/>
      <w:lvlJc w:val="left"/>
      <w:pPr>
        <w:ind w:left="988" w:hanging="705"/>
      </w:pPr>
      <w:rPr>
        <w:rFonts w:ascii="Symbol" w:hAnsi="Symbol" w:hint="default"/>
        <w:lang w:val="es-MX"/>
      </w:rPr>
    </w:lvl>
    <w:lvl w:ilvl="1" w:tplc="08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5B301B5C"/>
    <w:multiLevelType w:val="hybridMultilevel"/>
    <w:tmpl w:val="7A360D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E1F5D"/>
    <w:multiLevelType w:val="hybridMultilevel"/>
    <w:tmpl w:val="C4E4F41E"/>
    <w:lvl w:ilvl="0" w:tplc="E58493D8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  <w:lang w:val="es-MX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7091F"/>
    <w:multiLevelType w:val="hybridMultilevel"/>
    <w:tmpl w:val="47DC3E92"/>
    <w:lvl w:ilvl="0" w:tplc="E58493D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2946F5"/>
    <w:multiLevelType w:val="hybridMultilevel"/>
    <w:tmpl w:val="D174E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6519E7"/>
    <w:multiLevelType w:val="hybridMultilevel"/>
    <w:tmpl w:val="B03C7B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663339">
    <w:abstractNumId w:val="0"/>
  </w:num>
  <w:num w:numId="2" w16cid:durableId="679356073">
    <w:abstractNumId w:val="4"/>
  </w:num>
  <w:num w:numId="3" w16cid:durableId="1446146910">
    <w:abstractNumId w:val="1"/>
  </w:num>
  <w:num w:numId="4" w16cid:durableId="390815048">
    <w:abstractNumId w:val="14"/>
  </w:num>
  <w:num w:numId="5" w16cid:durableId="908271849">
    <w:abstractNumId w:val="10"/>
  </w:num>
  <w:num w:numId="6" w16cid:durableId="336811104">
    <w:abstractNumId w:val="3"/>
  </w:num>
  <w:num w:numId="7" w16cid:durableId="83308446">
    <w:abstractNumId w:val="6"/>
  </w:num>
  <w:num w:numId="8" w16cid:durableId="1314867967">
    <w:abstractNumId w:val="7"/>
  </w:num>
  <w:num w:numId="9" w16cid:durableId="856580166">
    <w:abstractNumId w:val="11"/>
  </w:num>
  <w:num w:numId="10" w16cid:durableId="1261644814">
    <w:abstractNumId w:val="5"/>
  </w:num>
  <w:num w:numId="11" w16cid:durableId="1609199288">
    <w:abstractNumId w:val="15"/>
  </w:num>
  <w:num w:numId="12" w16cid:durableId="356656785">
    <w:abstractNumId w:val="13"/>
  </w:num>
  <w:num w:numId="13" w16cid:durableId="1965967048">
    <w:abstractNumId w:val="12"/>
  </w:num>
  <w:num w:numId="14" w16cid:durableId="383451323">
    <w:abstractNumId w:val="8"/>
  </w:num>
  <w:num w:numId="15" w16cid:durableId="406921104">
    <w:abstractNumId w:val="2"/>
  </w:num>
  <w:num w:numId="16" w16cid:durableId="8419730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D84"/>
    <w:rsid w:val="00000EB9"/>
    <w:rsid w:val="00014AAE"/>
    <w:rsid w:val="0002288C"/>
    <w:rsid w:val="00050621"/>
    <w:rsid w:val="00061D9E"/>
    <w:rsid w:val="00064B05"/>
    <w:rsid w:val="00075561"/>
    <w:rsid w:val="00085E02"/>
    <w:rsid w:val="00093A67"/>
    <w:rsid w:val="00096AC5"/>
    <w:rsid w:val="000A00C7"/>
    <w:rsid w:val="000B7868"/>
    <w:rsid w:val="000C3851"/>
    <w:rsid w:val="000C3964"/>
    <w:rsid w:val="000C7057"/>
    <w:rsid w:val="000D29EA"/>
    <w:rsid w:val="000F28EB"/>
    <w:rsid w:val="000F7158"/>
    <w:rsid w:val="000F77C7"/>
    <w:rsid w:val="001052F7"/>
    <w:rsid w:val="00120B6E"/>
    <w:rsid w:val="00131240"/>
    <w:rsid w:val="001509CD"/>
    <w:rsid w:val="0015125D"/>
    <w:rsid w:val="00160751"/>
    <w:rsid w:val="0016293A"/>
    <w:rsid w:val="001672C4"/>
    <w:rsid w:val="00175CE4"/>
    <w:rsid w:val="00182ADE"/>
    <w:rsid w:val="001835D1"/>
    <w:rsid w:val="001C1C45"/>
    <w:rsid w:val="001C7828"/>
    <w:rsid w:val="001E1989"/>
    <w:rsid w:val="001E1DAC"/>
    <w:rsid w:val="001E3523"/>
    <w:rsid w:val="001F31C2"/>
    <w:rsid w:val="00207E16"/>
    <w:rsid w:val="00210330"/>
    <w:rsid w:val="0022058F"/>
    <w:rsid w:val="002235FF"/>
    <w:rsid w:val="00237FE8"/>
    <w:rsid w:val="00242F7D"/>
    <w:rsid w:val="002573D6"/>
    <w:rsid w:val="00262F10"/>
    <w:rsid w:val="00270D34"/>
    <w:rsid w:val="00282610"/>
    <w:rsid w:val="00287265"/>
    <w:rsid w:val="002C198E"/>
    <w:rsid w:val="002C699C"/>
    <w:rsid w:val="002D1A26"/>
    <w:rsid w:val="002D6A5E"/>
    <w:rsid w:val="002E0D7B"/>
    <w:rsid w:val="002F5A84"/>
    <w:rsid w:val="002F6F35"/>
    <w:rsid w:val="00310182"/>
    <w:rsid w:val="003112C1"/>
    <w:rsid w:val="00331529"/>
    <w:rsid w:val="00333D07"/>
    <w:rsid w:val="00334557"/>
    <w:rsid w:val="00334D53"/>
    <w:rsid w:val="00337949"/>
    <w:rsid w:val="00341C08"/>
    <w:rsid w:val="003571E3"/>
    <w:rsid w:val="00375B11"/>
    <w:rsid w:val="0038494F"/>
    <w:rsid w:val="003A152F"/>
    <w:rsid w:val="003A33DA"/>
    <w:rsid w:val="003A34A9"/>
    <w:rsid w:val="003A6BCA"/>
    <w:rsid w:val="003B3008"/>
    <w:rsid w:val="003B736C"/>
    <w:rsid w:val="003C0803"/>
    <w:rsid w:val="003C3F75"/>
    <w:rsid w:val="003D2AE0"/>
    <w:rsid w:val="003D4B5C"/>
    <w:rsid w:val="003E6146"/>
    <w:rsid w:val="003F5EAF"/>
    <w:rsid w:val="003F6931"/>
    <w:rsid w:val="003F728E"/>
    <w:rsid w:val="003F7502"/>
    <w:rsid w:val="004038AA"/>
    <w:rsid w:val="00403962"/>
    <w:rsid w:val="00424E0A"/>
    <w:rsid w:val="00436588"/>
    <w:rsid w:val="00455E00"/>
    <w:rsid w:val="00466F38"/>
    <w:rsid w:val="00475CA4"/>
    <w:rsid w:val="00481C5E"/>
    <w:rsid w:val="004879AE"/>
    <w:rsid w:val="004A48D4"/>
    <w:rsid w:val="004B66D9"/>
    <w:rsid w:val="004B7324"/>
    <w:rsid w:val="004D7BBD"/>
    <w:rsid w:val="004F23AD"/>
    <w:rsid w:val="0050662C"/>
    <w:rsid w:val="005134C0"/>
    <w:rsid w:val="005148CB"/>
    <w:rsid w:val="00517495"/>
    <w:rsid w:val="005671A0"/>
    <w:rsid w:val="0056744A"/>
    <w:rsid w:val="00567FF3"/>
    <w:rsid w:val="00570D0A"/>
    <w:rsid w:val="0057253B"/>
    <w:rsid w:val="00577F16"/>
    <w:rsid w:val="00580898"/>
    <w:rsid w:val="005825A6"/>
    <w:rsid w:val="00584A4A"/>
    <w:rsid w:val="00595324"/>
    <w:rsid w:val="00595C11"/>
    <w:rsid w:val="005976ED"/>
    <w:rsid w:val="005B7D49"/>
    <w:rsid w:val="005D13E0"/>
    <w:rsid w:val="005D25F2"/>
    <w:rsid w:val="005D5B9A"/>
    <w:rsid w:val="005D7FDE"/>
    <w:rsid w:val="005E66B8"/>
    <w:rsid w:val="00606A32"/>
    <w:rsid w:val="00624E73"/>
    <w:rsid w:val="0063024C"/>
    <w:rsid w:val="0063213A"/>
    <w:rsid w:val="00647924"/>
    <w:rsid w:val="0065648B"/>
    <w:rsid w:val="0066467A"/>
    <w:rsid w:val="00664F56"/>
    <w:rsid w:val="00671F3B"/>
    <w:rsid w:val="00686BAB"/>
    <w:rsid w:val="00692191"/>
    <w:rsid w:val="0069303A"/>
    <w:rsid w:val="00694277"/>
    <w:rsid w:val="006A1211"/>
    <w:rsid w:val="006A650A"/>
    <w:rsid w:val="006B646B"/>
    <w:rsid w:val="006B7D84"/>
    <w:rsid w:val="006D0472"/>
    <w:rsid w:val="006D7C2E"/>
    <w:rsid w:val="006E01B2"/>
    <w:rsid w:val="006E448C"/>
    <w:rsid w:val="006E4F0D"/>
    <w:rsid w:val="006E6B84"/>
    <w:rsid w:val="006F463D"/>
    <w:rsid w:val="00717E52"/>
    <w:rsid w:val="007357AD"/>
    <w:rsid w:val="007406FD"/>
    <w:rsid w:val="007528EF"/>
    <w:rsid w:val="007567B2"/>
    <w:rsid w:val="007578C1"/>
    <w:rsid w:val="00760FC8"/>
    <w:rsid w:val="0076355F"/>
    <w:rsid w:val="00771041"/>
    <w:rsid w:val="00775831"/>
    <w:rsid w:val="00785089"/>
    <w:rsid w:val="007A61D5"/>
    <w:rsid w:val="007B44DC"/>
    <w:rsid w:val="007C1A0A"/>
    <w:rsid w:val="007E1EE4"/>
    <w:rsid w:val="007E5F9F"/>
    <w:rsid w:val="007F0BAC"/>
    <w:rsid w:val="007F339D"/>
    <w:rsid w:val="00800BC6"/>
    <w:rsid w:val="008058FE"/>
    <w:rsid w:val="00823C60"/>
    <w:rsid w:val="00824946"/>
    <w:rsid w:val="0084418B"/>
    <w:rsid w:val="00851962"/>
    <w:rsid w:val="008645A4"/>
    <w:rsid w:val="00877D4D"/>
    <w:rsid w:val="008866E2"/>
    <w:rsid w:val="008924D1"/>
    <w:rsid w:val="00893CF5"/>
    <w:rsid w:val="00897941"/>
    <w:rsid w:val="008C509F"/>
    <w:rsid w:val="008C6330"/>
    <w:rsid w:val="008D236D"/>
    <w:rsid w:val="008E6BD4"/>
    <w:rsid w:val="008F4DE1"/>
    <w:rsid w:val="008F77EA"/>
    <w:rsid w:val="00900060"/>
    <w:rsid w:val="0090487D"/>
    <w:rsid w:val="009419A9"/>
    <w:rsid w:val="00941C13"/>
    <w:rsid w:val="0095189E"/>
    <w:rsid w:val="00952614"/>
    <w:rsid w:val="009649C3"/>
    <w:rsid w:val="00981044"/>
    <w:rsid w:val="009820FF"/>
    <w:rsid w:val="009822AF"/>
    <w:rsid w:val="00984B7E"/>
    <w:rsid w:val="0098729F"/>
    <w:rsid w:val="0099270B"/>
    <w:rsid w:val="009962F3"/>
    <w:rsid w:val="0099718E"/>
    <w:rsid w:val="009A0549"/>
    <w:rsid w:val="009A5F66"/>
    <w:rsid w:val="009B1D78"/>
    <w:rsid w:val="009B3D6F"/>
    <w:rsid w:val="009C0E42"/>
    <w:rsid w:val="009D2450"/>
    <w:rsid w:val="009E11B3"/>
    <w:rsid w:val="009F0BCB"/>
    <w:rsid w:val="00A0253B"/>
    <w:rsid w:val="00A04B92"/>
    <w:rsid w:val="00A26226"/>
    <w:rsid w:val="00A6081F"/>
    <w:rsid w:val="00A668EA"/>
    <w:rsid w:val="00A67B14"/>
    <w:rsid w:val="00A705B3"/>
    <w:rsid w:val="00A7154B"/>
    <w:rsid w:val="00AB3B53"/>
    <w:rsid w:val="00AB3C0C"/>
    <w:rsid w:val="00AC6C4A"/>
    <w:rsid w:val="00AD0F85"/>
    <w:rsid w:val="00AD6A08"/>
    <w:rsid w:val="00AE1591"/>
    <w:rsid w:val="00AE2A62"/>
    <w:rsid w:val="00AF21F2"/>
    <w:rsid w:val="00B06C2E"/>
    <w:rsid w:val="00B17B4F"/>
    <w:rsid w:val="00B214A2"/>
    <w:rsid w:val="00B51738"/>
    <w:rsid w:val="00B6406E"/>
    <w:rsid w:val="00B709F0"/>
    <w:rsid w:val="00B83D6C"/>
    <w:rsid w:val="00B90B92"/>
    <w:rsid w:val="00B95822"/>
    <w:rsid w:val="00BA0A1E"/>
    <w:rsid w:val="00BA6658"/>
    <w:rsid w:val="00BC5405"/>
    <w:rsid w:val="00BD5012"/>
    <w:rsid w:val="00BE5214"/>
    <w:rsid w:val="00BE58B2"/>
    <w:rsid w:val="00BF3014"/>
    <w:rsid w:val="00BF5612"/>
    <w:rsid w:val="00C02D37"/>
    <w:rsid w:val="00C124E5"/>
    <w:rsid w:val="00C27FE1"/>
    <w:rsid w:val="00C30A54"/>
    <w:rsid w:val="00C33C7E"/>
    <w:rsid w:val="00C442CB"/>
    <w:rsid w:val="00C774C4"/>
    <w:rsid w:val="00CB0E34"/>
    <w:rsid w:val="00CB18BB"/>
    <w:rsid w:val="00CB3590"/>
    <w:rsid w:val="00CB5E5B"/>
    <w:rsid w:val="00CB62F3"/>
    <w:rsid w:val="00CD63CF"/>
    <w:rsid w:val="00CE3C24"/>
    <w:rsid w:val="00CF1895"/>
    <w:rsid w:val="00D01E66"/>
    <w:rsid w:val="00D126D5"/>
    <w:rsid w:val="00D51277"/>
    <w:rsid w:val="00D56C4F"/>
    <w:rsid w:val="00D6298E"/>
    <w:rsid w:val="00D65639"/>
    <w:rsid w:val="00D849CA"/>
    <w:rsid w:val="00D9784E"/>
    <w:rsid w:val="00DE0647"/>
    <w:rsid w:val="00DF0CE6"/>
    <w:rsid w:val="00E21144"/>
    <w:rsid w:val="00E2453D"/>
    <w:rsid w:val="00E30E15"/>
    <w:rsid w:val="00E33DDC"/>
    <w:rsid w:val="00E34033"/>
    <w:rsid w:val="00E42CFA"/>
    <w:rsid w:val="00E53B2F"/>
    <w:rsid w:val="00E657FC"/>
    <w:rsid w:val="00E71F0E"/>
    <w:rsid w:val="00E82381"/>
    <w:rsid w:val="00E82B0B"/>
    <w:rsid w:val="00EA49AF"/>
    <w:rsid w:val="00EA6AAE"/>
    <w:rsid w:val="00EC3556"/>
    <w:rsid w:val="00EC6600"/>
    <w:rsid w:val="00EC7B7B"/>
    <w:rsid w:val="00ED0641"/>
    <w:rsid w:val="00EF2A3D"/>
    <w:rsid w:val="00F13659"/>
    <w:rsid w:val="00F170DF"/>
    <w:rsid w:val="00F2038E"/>
    <w:rsid w:val="00F311C1"/>
    <w:rsid w:val="00F31ECF"/>
    <w:rsid w:val="00F47062"/>
    <w:rsid w:val="00F53CD7"/>
    <w:rsid w:val="00F55D1E"/>
    <w:rsid w:val="00F6059D"/>
    <w:rsid w:val="00F6153C"/>
    <w:rsid w:val="00F70BDC"/>
    <w:rsid w:val="00F85573"/>
    <w:rsid w:val="00F91803"/>
    <w:rsid w:val="00FB3E62"/>
    <w:rsid w:val="00FB7F09"/>
    <w:rsid w:val="00FD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66C43741-EC36-4AC6-BDE6-5629C91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28E"/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F728E"/>
    <w:pPr>
      <w:spacing w:after="120"/>
      <w:ind w:left="360" w:hanging="36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7324"/>
    <w:pPr>
      <w:spacing w:afterLines="120" w:after="288"/>
      <w:ind w:left="540" w:hanging="540"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72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F728E"/>
  </w:style>
  <w:style w:type="paragraph" w:styleId="Piedepgina">
    <w:name w:val="footer"/>
    <w:basedOn w:val="Normal"/>
    <w:link w:val="PiedepginaCar"/>
    <w:uiPriority w:val="99"/>
    <w:unhideWhenUsed/>
    <w:rsid w:val="003F72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28E"/>
  </w:style>
  <w:style w:type="table" w:styleId="Tablaconcuadrcula">
    <w:name w:val="Table Grid"/>
    <w:basedOn w:val="Tablanormal"/>
    <w:uiPriority w:val="39"/>
    <w:rsid w:val="003F7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72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F728E"/>
    <w:rPr>
      <w:rFonts w:ascii="Arial" w:hAnsi="Arial" w:cs="Arial"/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4B7324"/>
    <w:rPr>
      <w:rFonts w:ascii="Arial" w:hAnsi="Arial" w:cs="Arial"/>
      <w:b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21F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1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1390</Words>
  <Characters>7645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TT&amp;C</Company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Elena Rodríguez Sánchez</dc:creator>
  <cp:lastModifiedBy>DENISSE DEL CARMEN GUERRA NUÑEZ</cp:lastModifiedBy>
  <cp:revision>2</cp:revision>
  <dcterms:created xsi:type="dcterms:W3CDTF">2024-01-09T17:37:00Z</dcterms:created>
  <dcterms:modified xsi:type="dcterms:W3CDTF">2024-01-09T17:37:00Z</dcterms:modified>
</cp:coreProperties>
</file>